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3C1E"/>
          <w:sz w:val="64"/>
          <w:szCs w:val="64"/>
        </w:rPr>
        <w:t xml:space="preserve">GreenLens</w:t>
      </w:r>
    </w:p>
    <w:p>
      <w:pPr>
        <w:spacing w:after="80" w:before="0"/>
        <w:jc w:val="center"/>
      </w:pPr>
      <w:r>
        <w:rPr>
          <w:rFonts w:ascii="Arial" w:cs="Arial" w:eastAsia="Arial" w:hAnsi="Arial"/>
          <w:color w:val="2E6B35"/>
          <w:sz w:val="36"/>
          <w:szCs w:val="36"/>
        </w:rPr>
        <w:t xml:space="preserve">AI-Driven ESG Greenwashing Detection</w:t>
      </w:r>
    </w:p>
    <w:p>
      <w:pPr>
        <w:spacing w:after="80" w:before="0"/>
        <w:jc w:val="center"/>
      </w:pPr>
      <w:r>
        <w:rPr>
          <w:rFonts w:ascii="Arial" w:cs="Arial" w:eastAsia="Arial" w:hAnsi="Arial"/>
          <w:color w:val="4A90A4"/>
          <w:sz w:val="28"/>
          <w:szCs w:val="28"/>
        </w:rPr>
        <w:t xml:space="preserve">Irish Food SMEs Pilot</w:t>
      </w:r>
    </w:p>
    <w:p>
      <w:pPr>
        <w:spacing w:after="80" w:before="160"/>
        <w:jc w:val="center"/>
      </w:pPr>
      <w:r>
        <w:rPr>
          <w:rFonts w:ascii="Arial" w:cs="Arial" w:eastAsia="Arial" w:hAnsi="Arial"/>
          <w:b/>
          <w:bCs/>
          <w:color w:val="555555"/>
          <w:sz w:val="26"/>
          <w:szCs w:val="26"/>
        </w:rPr>
        <w:t xml:space="preserve">Project Methodology Outline</w:t>
      </w:r>
    </w:p>
    <w:p>
      <w:pPr>
        <w:spacing w:after="2400" w:before="80"/>
        <w:jc w:val="center"/>
      </w:pPr>
      <w:r>
        <w:rPr>
          <w:rFonts w:ascii="Arial" w:cs="Arial" w:eastAsia="Arial" w:hAnsi="Arial"/>
          <w:color w:val="888888"/>
          <w:sz w:val="22"/>
          <w:szCs w:val="22"/>
        </w:rPr>
        <w:t xml:space="preserve">MSc Business Analytics  •  Capstone Project  •  2025</w:t>
      </w:r>
    </w:p>
    <w:p>
      <w:r>
        <w:br w:type="page"/>
      </w:r>
    </w:p>
    <w:p>
      <w:pPr>
        <w:pStyle w:val="Heading1"/>
        <w:spacing w:after="120" w:before="360"/>
      </w:pPr>
      <w:r>
        <w:rPr>
          <w:rFonts w:ascii="Arial" w:cs="Arial" w:eastAsia="Arial" w:hAnsi="Arial"/>
          <w:b/>
          <w:bCs/>
          <w:color w:val="1A3C1E"/>
          <w:sz w:val="32"/>
          <w:szCs w:val="32"/>
        </w:rPr>
        <w:t xml:space="preserve">1. Project Overview</w:t>
      </w:r>
    </w:p>
    <w:p>
      <w:pPr>
        <w:spacing w:after="80" w:before="60"/>
      </w:pPr>
      <w:r>
        <w:rPr>
          <w:rFonts w:ascii="Arial" w:cs="Arial" w:eastAsia="Arial" w:hAnsi="Arial"/>
          <w:sz w:val="22"/>
          <w:szCs w:val="22"/>
        </w:rPr>
        <w:t xml:space="preserve">GreenLens is a full-stack AI tool designed to detect greenwashing in Small and Medium-sized Enterprises (SMEs). The system cross-validates a company's official ESG claims against independent public evidence to produce a quantified risk score. The pilot targets 26 Irish Food SMEs using Bord Bia Origin Green membership data as the ground truth benchmark.</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pPr>
              <w:spacing w:after="60" w:before="0"/>
            </w:pPr>
            <w:r>
              <w:rPr>
                <w:rFonts w:ascii="Arial" w:cs="Arial" w:eastAsia="Arial" w:hAnsi="Arial"/>
                <w:b/>
                <w:bCs/>
                <w:color w:val="1A3C1E"/>
                <w:sz w:val="20"/>
                <w:szCs w:val="20"/>
              </w:rPr>
              <w:t xml:space="preserve">Core Research Question</w:t>
            </w:r>
          </w:p>
          <w:p>
            <w:pPr>
              <w:spacing w:after="0" w:before="0"/>
            </w:pPr>
            <w:r>
              <w:rPr>
                <w:rFonts w:ascii="Arial" w:cs="Arial" w:eastAsia="Arial" w:hAnsi="Arial"/>
                <w:color w:val="333333"/>
                <w:sz w:val="21"/>
                <w:szCs w:val="21"/>
              </w:rPr>
              <w:t xml:space="preserve">Can a hybrid NLP pipeline — combining LLM semantic auditing with FinBERT sentiment analysis — reliably detect greenwashing risk in Irish Food SMEs using only legally accessible, publicly available data?</w:t>
            </w:r>
          </w:p>
        </w:tc>
      </w:tr>
    </w:tbl>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1.1  The Talk vs Walk Framework</w:t>
      </w:r>
    </w:p>
    <w:p>
      <w:pPr>
        <w:spacing w:after="80" w:before="60"/>
      </w:pPr>
      <w:r>
        <w:rPr>
          <w:rFonts w:ascii="Arial" w:cs="Arial" w:eastAsia="Arial" w:hAnsi="Arial"/>
          <w:sz w:val="22"/>
          <w:szCs w:val="22"/>
        </w:rPr>
        <w:t xml:space="preserve">The project is built on a single conceptual foundation: the gap between what a company claims (Talk) and what independent public evidence says about them (Walk).</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Component</w:t>
            </w:r>
          </w:p>
        </w:tc>
        <w:tc>
          <w:tcPr>
            <w:tcW w:type="dxa" w:w="616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Talk Score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How strongly and credibly does the company present its ESG commitments on its own website?</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Walk Score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What does independent public news sentiment actually say about the company's environmental and social behaviour?</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Gap Score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The relative divergence between Talk and Walk. A high gap signals greenwashing risk.</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Risk Level</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Categorical classification: Credible / Low Risk / Medium Risk / High Risk, derived from the Gap Score threshold.</w:t>
            </w:r>
          </w:p>
        </w:tc>
      </w:tr>
    </w:tbl>
    <w:p>
      <w:pPr>
        <w:spacing w:before="80"/>
      </w:pPr>
      <w:r>
        <w:rPr>
          <w:sz w:val="22"/>
          <w:szCs w:val="22"/>
        </w:rPr>
        <w:t xml:space="preserve"/>
      </w:r>
    </w:p>
    <w:p>
      <w:pPr>
        <w:pBdr>
          <w:bottom w:val="single" w:color="BBCFBB" w:sz="4" w:space="1"/>
        </w:pBdr>
        <w:spacing w:after="160" w:before="160"/>
      </w:pPr>
    </w:p>
    <w:p>
      <w:pPr>
        <w:pStyle w:val="Heading1"/>
        <w:spacing w:after="120" w:before="360"/>
      </w:pPr>
      <w:r>
        <w:rPr>
          <w:rFonts w:ascii="Arial" w:cs="Arial" w:eastAsia="Arial" w:hAnsi="Arial"/>
          <w:b/>
          <w:bCs/>
          <w:color w:val="1A3C1E"/>
          <w:sz w:val="32"/>
          <w:szCs w:val="32"/>
        </w:rPr>
        <w:t xml:space="preserve">2. Concept Evolution — From V1 to Hybrid</w:t>
      </w:r>
    </w:p>
    <w:p>
      <w:pPr>
        <w:spacing w:after="80" w:before="60"/>
      </w:pPr>
      <w:r>
        <w:rPr>
          <w:rFonts w:ascii="Arial" w:cs="Arial" w:eastAsia="Arial" w:hAnsi="Arial"/>
          <w:sz w:val="22"/>
          <w:szCs w:val="22"/>
        </w:rPr>
        <w:t xml:space="preserve">The methodology evolved across three distinct versions as the team identified limitations and incorporated more sophisticated NLP techniques. Each version built on the previous one rather than replacing it entirely.</w:t>
      </w:r>
    </w:p>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2.1  Version 1 — Keyword Counting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BB" w:sz="1"/>
              <w:left w:val="single" w:color="BBCFBB" w:sz="1"/>
              <w:bottom w:val="single" w:color="BBCFBB" w:sz="1"/>
              <w:right w:val="single" w:color="BBCFBB" w:sz="1"/>
            </w:tcBorders>
            <w:shd w:fill="F4F7F4" w:val="clear"/>
            <w:tcMar>
              <w:top w:type="dxa" w:w="100"/>
              <w:left w:type="dxa" w:w="140"/>
              <w:bottom w:type="dxa" w:w="100"/>
              <w:right w:type="dxa" w:w="140"/>
            </w:tcMar>
          </w:tcPr>
          <w:p>
            <w:pPr>
              <w:spacing w:after="60" w:before="0"/>
            </w:pPr>
            <w:r>
              <w:rPr>
                <w:rFonts w:ascii="Arial" w:cs="Arial" w:eastAsia="Arial" w:hAnsi="Arial"/>
                <w:b/>
                <w:bCs/>
                <w:color w:val="555555"/>
                <w:sz w:val="20"/>
                <w:szCs w:val="20"/>
              </w:rPr>
              <w:t xml:space="preserve">V1 Core Idea</w:t>
            </w:r>
          </w:p>
          <w:p>
            <w:pPr>
              <w:spacing w:after="0" w:before="0"/>
            </w:pPr>
            <w:r>
              <w:rPr>
                <w:rFonts w:ascii="Arial" w:cs="Arial" w:eastAsia="Arial" w:hAnsi="Arial"/>
                <w:color w:val="333333"/>
                <w:sz w:val="21"/>
                <w:szCs w:val="21"/>
              </w:rPr>
              <w:t xml:space="preserve">Count how many ESG-related keywords appear on a company website. More keywords = higher Talk Score.</w:t>
            </w:r>
          </w:p>
        </w:tc>
      </w:tr>
    </w:tbl>
    <w:p>
      <w:pPr>
        <w:spacing w:before="80"/>
      </w:pPr>
      <w:r>
        <w:rPr>
          <w:sz w:val="22"/>
          <w:szCs w:val="22"/>
        </w:rPr>
        <w:t xml:space="preserve"/>
      </w:r>
    </w:p>
    <w:p>
      <w:pPr>
        <w:spacing w:after="80" w:before="60"/>
      </w:pPr>
      <w:r>
        <w:rPr>
          <w:rFonts w:ascii="Arial" w:cs="Arial" w:eastAsia="Arial" w:hAnsi="Arial"/>
          <w:b/>
          <w:bCs/>
          <w:sz w:val="22"/>
          <w:szCs w:val="22"/>
        </w:rPr>
        <w:t xml:space="preserve">How it worked:</w:t>
      </w:r>
    </w:p>
    <w:p>
      <w:pPr>
        <w:pStyle w:val="ListParagraph"/>
        <w:numPr>
          <w:ilvl w:val="0"/>
          <w:numId w:val="2"/>
        </w:numPr>
        <w:spacing w:after="40" w:before="40"/>
      </w:pPr>
      <w:r>
        <w:rPr>
          <w:rFonts w:ascii="Arial" w:cs="Arial" w:eastAsia="Arial" w:hAnsi="Arial"/>
          <w:sz w:val="22"/>
          <w:szCs w:val="22"/>
        </w:rPr>
        <w:t xml:space="preserve">Scraped company website text using BeautifulSoup</w:t>
      </w:r>
    </w:p>
    <w:p>
      <w:pPr>
        <w:pStyle w:val="ListParagraph"/>
        <w:numPr>
          <w:ilvl w:val="0"/>
          <w:numId w:val="2"/>
        </w:numPr>
        <w:spacing w:after="40" w:before="40"/>
      </w:pPr>
      <w:r>
        <w:rPr>
          <w:rFonts w:ascii="Arial" w:cs="Arial" w:eastAsia="Arial" w:hAnsi="Arial"/>
          <w:sz w:val="22"/>
          <w:szCs w:val="22"/>
        </w:rPr>
        <w:t xml:space="preserve">Counted occurrences of 14 pre-defined ESG keywords (e.g. sustainability, carbon, ethical, emissions)</w:t>
      </w:r>
    </w:p>
    <w:p>
      <w:pPr>
        <w:pStyle w:val="ListParagraph"/>
        <w:numPr>
          <w:ilvl w:val="0"/>
          <w:numId w:val="2"/>
        </w:numPr>
        <w:spacing w:after="40" w:before="40"/>
      </w:pPr>
      <w:r>
        <w:rPr>
          <w:rFonts w:ascii="Arial" w:cs="Arial" w:eastAsia="Arial" w:hAnsi="Arial"/>
          <w:sz w:val="22"/>
          <w:szCs w:val="22"/>
        </w:rPr>
        <w:t xml:space="preserve">Normalised keyword count to a 0-10 Talk Score via min-max scaling</w:t>
      </w:r>
    </w:p>
    <w:p>
      <w:pPr>
        <w:pStyle w:val="ListParagraph"/>
        <w:numPr>
          <w:ilvl w:val="0"/>
          <w:numId w:val="2"/>
        </w:numPr>
        <w:spacing w:after="40" w:before="40"/>
      </w:pPr>
      <w:r>
        <w:rPr>
          <w:rFonts w:ascii="Arial" w:cs="Arial" w:eastAsia="Arial" w:hAnsi="Arial"/>
          <w:sz w:val="22"/>
          <w:szCs w:val="22"/>
        </w:rPr>
        <w:t xml:space="preserve">Walk Score derived from Google News article count (proxy for media coverage)</w:t>
      </w:r>
    </w:p>
    <w:p>
      <w:pPr>
        <w:pStyle w:val="ListParagraph"/>
        <w:numPr>
          <w:ilvl w:val="0"/>
          <w:numId w:val="2"/>
        </w:numPr>
        <w:spacing w:after="40" w:before="40"/>
      </w:pPr>
      <w:r>
        <w:rPr>
          <w:rFonts w:ascii="Arial" w:cs="Arial" w:eastAsia="Arial" w:hAnsi="Arial"/>
          <w:sz w:val="22"/>
          <w:szCs w:val="22"/>
        </w:rPr>
        <w:t xml:space="preserve">Gap Score calculated as a simple rule-based composite of keyword count, news count, and Bord Bia verification status</w:t>
      </w:r>
    </w:p>
    <w:p>
      <w:pPr>
        <w:spacing w:before="80"/>
      </w:pPr>
      <w:r>
        <w:rPr>
          <w:sz w:val="22"/>
          <w:szCs w:val="22"/>
        </w:rPr>
        <w:t xml:space="preserve"/>
      </w:r>
    </w:p>
    <w:p>
      <w:pPr>
        <w:spacing w:after="80" w:before="60"/>
      </w:pPr>
      <w:r>
        <w:rPr>
          <w:rFonts w:ascii="Arial" w:cs="Arial" w:eastAsia="Arial" w:hAnsi="Arial"/>
          <w:b/>
          <w:bCs/>
          <w:sz w:val="22"/>
          <w:szCs w:val="22"/>
        </w:rPr>
        <w:t xml:space="preserve">Why V1 was limited:</w:t>
      </w:r>
    </w:p>
    <w:p>
      <w:pPr>
        <w:pStyle w:val="ListParagraph"/>
        <w:numPr>
          <w:ilvl w:val="0"/>
          <w:numId w:val="2"/>
        </w:numPr>
        <w:spacing w:after="40" w:before="40"/>
      </w:pPr>
      <w:r>
        <w:rPr>
          <w:rFonts w:ascii="Arial" w:cs="Arial" w:eastAsia="Arial" w:hAnsi="Arial"/>
          <w:sz w:val="22"/>
          <w:szCs w:val="22"/>
        </w:rPr>
        <w:t xml:space="preserve">Keyword counting cannot distinguish genuine claims from vague marketing language</w:t>
      </w:r>
    </w:p>
    <w:p>
      <w:pPr>
        <w:pStyle w:val="ListParagraph"/>
        <w:numPr>
          <w:ilvl w:val="0"/>
          <w:numId w:val="2"/>
        </w:numPr>
        <w:spacing w:after="40" w:before="40"/>
      </w:pPr>
      <w:r>
        <w:rPr>
          <w:rFonts w:ascii="Arial" w:cs="Arial" w:eastAsia="Arial" w:hAnsi="Arial"/>
          <w:sz w:val="22"/>
          <w:szCs w:val="22"/>
        </w:rPr>
        <w:t xml:space="preserve">"We are committed to sustainability" scores the same as "We reduced emissions by 34% since 2019"</w:t>
      </w:r>
    </w:p>
    <w:p>
      <w:pPr>
        <w:pStyle w:val="ListParagraph"/>
        <w:numPr>
          <w:ilvl w:val="0"/>
          <w:numId w:val="2"/>
        </w:numPr>
        <w:spacing w:after="40" w:before="40"/>
      </w:pPr>
      <w:r>
        <w:rPr>
          <w:rFonts w:ascii="Arial" w:cs="Arial" w:eastAsia="Arial" w:hAnsi="Arial"/>
          <w:sz w:val="22"/>
          <w:szCs w:val="22"/>
        </w:rPr>
        <w:t xml:space="preserve">News count is a measure of media volume, not media sentiment — negative press counts the same as positive</w:t>
      </w:r>
    </w:p>
    <w:p>
      <w:pPr>
        <w:pStyle w:val="ListParagraph"/>
        <w:numPr>
          <w:ilvl w:val="0"/>
          <w:numId w:val="2"/>
        </w:numPr>
        <w:spacing w:after="40" w:before="40"/>
      </w:pPr>
      <w:r>
        <w:rPr>
          <w:rFonts w:ascii="Arial" w:cs="Arial" w:eastAsia="Arial" w:hAnsi="Arial"/>
          <w:sz w:val="22"/>
          <w:szCs w:val="22"/>
        </w:rPr>
        <w:t xml:space="preserve">Gap Score was rule-based (hard-coded thresholds) rather than data-driven</w:t>
      </w:r>
    </w:p>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2.2  Version 2 — LLM Semantic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BB" w:sz="1"/>
              <w:left w:val="single" w:color="BBCFBB" w:sz="1"/>
              <w:bottom w:val="single" w:color="BBCFBB" w:sz="1"/>
              <w:right w:val="single" w:color="BBCFBB" w:sz="1"/>
            </w:tcBorders>
            <w:shd w:fill="F4F7F4" w:val="clear"/>
            <w:tcMar>
              <w:top w:type="dxa" w:w="100"/>
              <w:left w:type="dxa" w:w="140"/>
              <w:bottom w:type="dxa" w:w="100"/>
              <w:right w:type="dxa" w:w="140"/>
            </w:tcMar>
          </w:tcPr>
          <w:p>
            <w:pPr>
              <w:spacing w:after="60" w:before="0"/>
            </w:pPr>
            <w:r>
              <w:rPr>
                <w:rFonts w:ascii="Arial" w:cs="Arial" w:eastAsia="Arial" w:hAnsi="Arial"/>
                <w:b/>
                <w:bCs/>
                <w:color w:val="555555"/>
                <w:sz w:val="20"/>
                <w:szCs w:val="20"/>
              </w:rPr>
              <w:t xml:space="preserve">V2 Core Idea</w:t>
            </w:r>
          </w:p>
          <w:p>
            <w:pPr>
              <w:spacing w:after="0" w:before="0"/>
            </w:pPr>
            <w:r>
              <w:rPr>
                <w:rFonts w:ascii="Arial" w:cs="Arial" w:eastAsia="Arial" w:hAnsi="Arial"/>
                <w:color w:val="333333"/>
                <w:sz w:val="21"/>
                <w:szCs w:val="21"/>
              </w:rPr>
              <w:t xml:space="preserve">Replace keyword counting with a Groq/Llama LLM that reads website text like a trained ESG auditor and returns structured quality scores.</w:t>
            </w:r>
          </w:p>
        </w:tc>
      </w:tr>
    </w:tbl>
    <w:p>
      <w:pPr>
        <w:spacing w:before="80"/>
      </w:pPr>
      <w:r>
        <w:rPr>
          <w:sz w:val="22"/>
          <w:szCs w:val="22"/>
        </w:rPr>
        <w:t xml:space="preserve"/>
      </w:r>
    </w:p>
    <w:p>
      <w:pPr>
        <w:spacing w:after="80" w:before="60"/>
      </w:pPr>
      <w:r>
        <w:rPr>
          <w:rFonts w:ascii="Arial" w:cs="Arial" w:eastAsia="Arial" w:hAnsi="Arial"/>
          <w:b/>
          <w:bCs/>
          <w:sz w:val="22"/>
          <w:szCs w:val="22"/>
        </w:rPr>
        <w:t xml:space="preserve">Key changes from V1:</w:t>
      </w:r>
    </w:p>
    <w:p>
      <w:pPr>
        <w:pStyle w:val="ListParagraph"/>
        <w:numPr>
          <w:ilvl w:val="0"/>
          <w:numId w:val="2"/>
        </w:numPr>
        <w:spacing w:after="40" w:before="40"/>
      </w:pPr>
      <w:r>
        <w:rPr>
          <w:rFonts w:ascii="Arial" w:cs="Arial" w:eastAsia="Arial" w:hAnsi="Arial"/>
          <w:b/>
          <w:bCs/>
          <w:sz w:val="22"/>
          <w:szCs w:val="22"/>
        </w:rPr>
        <w:t xml:space="preserve"> now uses Llama 3.1 (via Groq API) to evaluate claim specificity and credibility on a 1-10 scale each</w:t>
      </w:r>
      <w:r>
        <w:rPr>
          <w:rFonts w:ascii="Arial" w:cs="Arial" w:eastAsia="Arial" w:hAnsi="Arial"/>
          <w:sz w:val="22"/>
          <w:szCs w:val="22"/>
        </w:rPr>
        <w:t xml:space="preserve">Talk Score</w:t>
      </w:r>
    </w:p>
    <w:p>
      <w:pPr>
        <w:pStyle w:val="ListParagraph"/>
        <w:numPr>
          <w:ilvl w:val="0"/>
          <w:numId w:val="2"/>
        </w:numPr>
        <w:spacing w:after="40" w:before="40"/>
      </w:pPr>
      <w:r>
        <w:rPr>
          <w:rFonts w:ascii="Arial" w:cs="Arial" w:eastAsia="Arial" w:hAnsi="Arial"/>
          <w:sz w:val="22"/>
          <w:szCs w:val="22"/>
        </w:rPr>
        <w:t xml:space="preserve">LLM returns structured JSON: claims found, greenwashing signals, strengths, and an auditor note per company</w:t>
      </w:r>
    </w:p>
    <w:p>
      <w:pPr>
        <w:pStyle w:val="ListParagraph"/>
        <w:numPr>
          <w:ilvl w:val="0"/>
          <w:numId w:val="2"/>
        </w:numPr>
        <w:spacing w:after="40" w:before="40"/>
      </w:pPr>
      <w:r>
        <w:rPr>
          <w:rFonts w:ascii="Arial" w:cs="Arial" w:eastAsia="Arial" w:hAnsi="Arial"/>
          <w:sz w:val="22"/>
          <w:szCs w:val="22"/>
        </w:rPr>
        <w:t xml:space="preserve">Talk Score V2 = (specificity + credibility) / 2  — calculated consistently rather than relying on the LLM's self-reported score</w:t>
      </w:r>
    </w:p>
    <w:p>
      <w:pPr>
        <w:pStyle w:val="ListParagraph"/>
        <w:numPr>
          <w:ilvl w:val="0"/>
          <w:numId w:val="2"/>
        </w:numPr>
        <w:spacing w:after="40" w:before="40"/>
      </w:pPr>
      <w:r>
        <w:rPr>
          <w:rFonts w:ascii="Arial" w:cs="Arial" w:eastAsia="Arial" w:hAnsi="Arial"/>
          <w:sz w:val="22"/>
          <w:szCs w:val="22"/>
        </w:rPr>
        <w:t xml:space="preserve">Walk Score upgraded to use FinBERT sentiment analysis on Google News headlines + article body text</w:t>
      </w:r>
    </w:p>
    <w:p>
      <w:pPr>
        <w:pStyle w:val="ListParagraph"/>
        <w:numPr>
          <w:ilvl w:val="0"/>
          <w:numId w:val="2"/>
        </w:numPr>
        <w:spacing w:after="40" w:before="40"/>
      </w:pPr>
      <w:r>
        <w:rPr>
          <w:rFonts w:ascii="Arial" w:cs="Arial" w:eastAsia="Arial" w:hAnsi="Arial"/>
          <w:sz w:val="22"/>
          <w:szCs w:val="22"/>
        </w:rPr>
        <w:t xml:space="preserve">Walk Score formula: 5 + (positive sentiment x 5) - (negative sentiment x 5)  → normalised to 0-10</w:t>
      </w:r>
    </w:p>
    <w:p>
      <w:pPr>
        <w:spacing w:before="80"/>
      </w:pPr>
      <w:r>
        <w:rPr>
          <w:sz w:val="22"/>
          <w:szCs w:val="22"/>
        </w:rPr>
        <w:t xml:space="preserve"/>
      </w:r>
    </w:p>
    <w:p>
      <w:pPr>
        <w:spacing w:after="80" w:before="60"/>
      </w:pPr>
      <w:r>
        <w:rPr>
          <w:rFonts w:ascii="Arial" w:cs="Arial" w:eastAsia="Arial" w:hAnsi="Arial"/>
          <w:b/>
          <w:bCs/>
          <w:sz w:val="22"/>
          <w:szCs w:val="22"/>
        </w:rPr>
        <w:t xml:space="preserve">Why V2 was an improvement:</w:t>
      </w:r>
    </w:p>
    <w:p>
      <w:pPr>
        <w:pStyle w:val="ListParagraph"/>
        <w:numPr>
          <w:ilvl w:val="0"/>
          <w:numId w:val="2"/>
        </w:numPr>
        <w:spacing w:after="40" w:before="40"/>
      </w:pPr>
      <w:r>
        <w:rPr>
          <w:rFonts w:ascii="Arial" w:cs="Arial" w:eastAsia="Arial" w:hAnsi="Arial"/>
          <w:sz w:val="22"/>
          <w:szCs w:val="22"/>
        </w:rPr>
        <w:t xml:space="preserve">LLM understands context, not just keyword presence — can detect vague language and unverified certifications</w:t>
      </w:r>
    </w:p>
    <w:p>
      <w:pPr>
        <w:pStyle w:val="ListParagraph"/>
        <w:numPr>
          <w:ilvl w:val="0"/>
          <w:numId w:val="2"/>
        </w:numPr>
        <w:spacing w:after="40" w:before="40"/>
      </w:pPr>
      <w:r>
        <w:rPr>
          <w:rFonts w:ascii="Arial" w:cs="Arial" w:eastAsia="Arial" w:hAnsi="Arial"/>
          <w:sz w:val="22"/>
          <w:szCs w:val="22"/>
        </w:rPr>
        <w:t xml:space="preserve">FinBERT is specifically trained on financial/ESG text — more accurate than general sentiment models for this domain</w:t>
      </w:r>
    </w:p>
    <w:p>
      <w:pPr>
        <w:pStyle w:val="ListParagraph"/>
        <w:numPr>
          <w:ilvl w:val="0"/>
          <w:numId w:val="2"/>
        </w:numPr>
        <w:spacing w:after="40" w:before="40"/>
      </w:pPr>
      <w:r>
        <w:rPr>
          <w:rFonts w:ascii="Arial" w:cs="Arial" w:eastAsia="Arial" w:hAnsi="Arial"/>
          <w:sz w:val="22"/>
          <w:szCs w:val="22"/>
        </w:rPr>
        <w:t xml:space="preserve">Fetching article body text (not just headlines) provides richer sentiment signal</w:t>
      </w:r>
    </w:p>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2.3  Hybrid Pipeline — Final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BB" w:sz="1"/>
              <w:left w:val="single" w:color="BBCFBB" w:sz="1"/>
              <w:bottom w:val="single" w:color="BBCFBB" w:sz="1"/>
              <w:right w:val="single" w:color="BBCFBB" w:sz="1"/>
            </w:tcBorders>
            <w:shd w:fill="F4F7F4" w:val="clear"/>
            <w:tcMar>
              <w:top w:type="dxa" w:w="100"/>
              <w:left w:type="dxa" w:w="140"/>
              <w:bottom w:type="dxa" w:w="100"/>
              <w:right w:type="dxa" w:w="140"/>
            </w:tcMar>
          </w:tcPr>
          <w:p>
            <w:pPr>
              <w:spacing w:after="60" w:before="0"/>
            </w:pPr>
            <w:r>
              <w:rPr>
                <w:rFonts w:ascii="Arial" w:cs="Arial" w:eastAsia="Arial" w:hAnsi="Arial"/>
                <w:b/>
                <w:bCs/>
                <w:color w:val="555555"/>
                <w:sz w:val="20"/>
                <w:szCs w:val="20"/>
              </w:rPr>
              <w:t xml:space="preserve">Hybrid Core Idea</w:t>
            </w:r>
          </w:p>
          <w:p>
            <w:pPr>
              <w:spacing w:after="0" w:before="0"/>
            </w:pPr>
            <w:r>
              <w:rPr>
                <w:rFonts w:ascii="Arial" w:cs="Arial" w:eastAsia="Arial" w:hAnsi="Arial"/>
                <w:color w:val="333333"/>
                <w:sz w:val="21"/>
                <w:szCs w:val="21"/>
              </w:rPr>
              <w:t xml:space="preserve">Combine LLM quality scoring with FinBERT claim-tone analysis for the Talk Score, while keeping FinBERT news sentiment as the Walk Score.</w:t>
            </w:r>
          </w:p>
        </w:tc>
      </w:tr>
    </w:tbl>
    <w:p>
      <w:pPr>
        <w:spacing w:before="80"/>
      </w:pPr>
      <w:r>
        <w:rPr>
          <w:sz w:val="22"/>
          <w:szCs w:val="22"/>
        </w:rPr>
        <w:t xml:space="preserve"/>
      </w:r>
    </w:p>
    <w:p>
      <w:pPr>
        <w:spacing w:after="80" w:before="60"/>
      </w:pPr>
      <w:r>
        <w:rPr>
          <w:rFonts w:ascii="Arial" w:cs="Arial" w:eastAsia="Arial" w:hAnsi="Arial"/>
          <w:b/>
          <w:bCs/>
          <w:sz w:val="22"/>
          <w:szCs w:val="22"/>
        </w:rPr>
        <w:t xml:space="preserve">The Hybrid Talk Score formula:</w:t>
      </w:r>
    </w:p>
    <w:p>
      <w:pPr>
        <w:spacing w:after="100" w:before="100"/>
        <w:jc w:val="center"/>
      </w:pPr>
      <w:r>
        <w:rPr>
          <w:rFonts w:ascii="Arial Narrow" w:cs="Arial Narrow" w:eastAsia="Arial Narrow" w:hAnsi="Arial Narrow"/>
          <w:b/>
          <w:bCs/>
          <w:color w:val="2E6B35"/>
          <w:sz w:val="24"/>
          <w:szCs w:val="24"/>
        </w:rPr>
        <w:t xml:space="preserve">Hybrid Talk  =  (LLM Quality Score × 0.6)  +  (FinBERT Claim Sentiment × 0.4)</w:t>
      </w:r>
    </w:p>
    <w:p>
      <w:pPr>
        <w:spacing w:before="80"/>
      </w:pPr>
      <w:r>
        <w:rPr>
          <w:sz w:val="22"/>
          <w:szCs w:val="22"/>
        </w:rPr>
        <w:t xml:space="preserve"/>
      </w:r>
    </w:p>
    <w:p>
      <w:pPr>
        <w:spacing w:after="80" w:before="60"/>
      </w:pPr>
      <w:r>
        <w:rPr>
          <w:rFonts w:ascii="Arial" w:cs="Arial" w:eastAsia="Arial" w:hAnsi="Arial"/>
          <w:b/>
          <w:bCs/>
          <w:sz w:val="22"/>
          <w:szCs w:val="22"/>
        </w:rPr>
        <w:t xml:space="preserve">Rationale for the weights:</w:t>
      </w:r>
    </w:p>
    <w:p>
      <w:pPr>
        <w:pStyle w:val="ListParagraph"/>
        <w:numPr>
          <w:ilvl w:val="0"/>
          <w:numId w:val="2"/>
        </w:numPr>
        <w:spacing w:after="40" w:before="40"/>
      </w:pPr>
      <w:r>
        <w:rPr>
          <w:rFonts w:ascii="Arial" w:cs="Arial" w:eastAsia="Arial" w:hAnsi="Arial"/>
          <w:sz w:val="22"/>
          <w:szCs w:val="22"/>
        </w:rPr>
        <w:t xml:space="preserve">0.6 weight on LLM: the structural quality of claims (specificity + credibility) is the primary signal for greenwashing detection</w:t>
      </w:r>
    </w:p>
    <w:p>
      <w:pPr>
        <w:pStyle w:val="ListParagraph"/>
        <w:numPr>
          <w:ilvl w:val="0"/>
          <w:numId w:val="2"/>
        </w:numPr>
        <w:spacing w:after="40" w:before="40"/>
      </w:pPr>
      <w:r>
        <w:rPr>
          <w:rFonts w:ascii="Arial" w:cs="Arial" w:eastAsia="Arial" w:hAnsi="Arial"/>
          <w:sz w:val="22"/>
          <w:szCs w:val="22"/>
        </w:rPr>
        <w:t xml:space="preserve">0.4 weight on FinBERT: the emotional tone and confidence of how claims are written provides a secondary corroborating signal</w:t>
      </w:r>
    </w:p>
    <w:p>
      <w:pPr>
        <w:pStyle w:val="ListParagraph"/>
        <w:numPr>
          <w:ilvl w:val="0"/>
          <w:numId w:val="2"/>
        </w:numPr>
        <w:spacing w:after="40" w:before="40"/>
      </w:pPr>
      <w:r>
        <w:rPr>
          <w:rFonts w:ascii="Arial" w:cs="Arial" w:eastAsia="Arial" w:hAnsi="Arial"/>
          <w:sz w:val="22"/>
          <w:szCs w:val="22"/>
        </w:rPr>
        <w:t xml:space="preserve">These weights are tunable hyperparameters — 0.5/0.5 and 0.7/0.3 variants were considered for sensitivity analysis in the dissertation</w:t>
      </w:r>
    </w:p>
    <w:p>
      <w:pPr>
        <w:spacing w:before="80"/>
      </w:pPr>
      <w:r>
        <w:rPr>
          <w:sz w:val="22"/>
          <w:szCs w:val="22"/>
        </w:rPr>
        <w:t xml:space="preserve"/>
      </w:r>
    </w:p>
    <w:p>
      <w:pPr>
        <w:pBdr>
          <w:bottom w:val="single" w:color="BBCFBB" w:sz="4" w:space="1"/>
        </w:pBdr>
        <w:spacing w:after="160" w:before="160"/>
      </w:pPr>
    </w:p>
    <w:p>
      <w:pPr>
        <w:pStyle w:val="Heading1"/>
        <w:spacing w:after="120" w:before="360"/>
      </w:pPr>
      <w:r>
        <w:rPr>
          <w:rFonts w:ascii="Arial" w:cs="Arial" w:eastAsia="Arial" w:hAnsi="Arial"/>
          <w:b/>
          <w:bCs/>
          <w:color w:val="1A3C1E"/>
          <w:sz w:val="32"/>
          <w:szCs w:val="32"/>
        </w:rPr>
        <w:t xml:space="preserve">3. Full Pipeline Methodology</w:t>
      </w:r>
    </w:p>
    <w:p>
      <w:pPr>
        <w:pStyle w:val="Heading2"/>
        <w:spacing w:after="100" w:before="280"/>
      </w:pPr>
      <w:r>
        <w:rPr>
          <w:rFonts w:ascii="Arial" w:cs="Arial" w:eastAsia="Arial" w:hAnsi="Arial"/>
          <w:b/>
          <w:bCs/>
          <w:color w:val="2E6B35"/>
          <w:sz w:val="26"/>
          <w:szCs w:val="26"/>
        </w:rPr>
        <w:t xml:space="preserve">3.1  Data Sources &amp;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Data Type</w:t>
            </w:r>
          </w:p>
        </w:tc>
        <w:tc>
          <w:tcPr>
            <w:tcW w:type="dxa" w:w="616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Source &amp; Method</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Company List</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Bord Bia Origin Green member list (combined_companies.csv) — scraped from public Bord Bia website. Contains company name, county, sector, website URL, and 2025 Gold verification status.</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Website Text (Talk)</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BeautifulSoup scraping of each company's own website. Paragraph text extracted, cleaned, and truncated to 2,000 characters for LLM input.</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ESG Claims (Talk)</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Groq API (Llama 3.1-8b-instant) — structured JSON audit of website text. Returns specificity score, credibility score, extracted claims, and greenwashing signals.</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News Sentiment (Walk)</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Google News RSS feed (feedparser). Up to 5 articles per company fetched. Both headline and article body text (first 1,000 chars) collected for FinBERT analysis.</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Ground Truth</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Bord Bia Origin Green Gold 2025 verification status — used as an independent external validator for risk classification accuracy.</w:t>
            </w:r>
          </w:p>
        </w:tc>
      </w:tr>
    </w:tbl>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3.2  Talk Score Pipeline</w:t>
      </w:r>
    </w:p>
    <w:p>
      <w:pPr>
        <w:spacing w:after="80" w:before="60"/>
      </w:pPr>
      <w:r>
        <w:rPr>
          <w:rFonts w:ascii="Arial" w:cs="Arial" w:eastAsia="Arial" w:hAnsi="Arial"/>
          <w:sz w:val="22"/>
          <w:szCs w:val="22"/>
        </w:rPr>
        <w:t xml:space="preserve">Step 1 — Website scraping: BeautifulSoup fetches paragraph text from each company website, filtering paragraphs under 40 characters as noise.</w:t>
      </w:r>
    </w:p>
    <w:p>
      <w:pPr>
        <w:spacing w:after="80" w:before="60"/>
      </w:pPr>
      <w:r>
        <w:rPr>
          <w:rFonts w:ascii="Arial" w:cs="Arial" w:eastAsia="Arial" w:hAnsi="Arial"/>
          <w:sz w:val="22"/>
          <w:szCs w:val="22"/>
        </w:rPr>
        <w:t xml:space="preserve">Step 2 — LLM audit: The cleaned text is sent to Llama 3.1 via Groq with a structured system prompt instructing it to score claim specificity (1-10) and credibility (1-10), identify greenwashing signals, and list extracted ESG claims.</w:t>
      </w:r>
    </w:p>
    <w:p>
      <w:pPr>
        <w:spacing w:after="80" w:before="60"/>
      </w:pPr>
      <w:r>
        <w:rPr>
          <w:rFonts w:ascii="Arial" w:cs="Arial" w:eastAsia="Arial" w:hAnsi="Arial"/>
          <w:sz w:val="22"/>
          <w:szCs w:val="22"/>
        </w:rPr>
        <w:t xml:space="preserve">Step 3 — LLM quality score: Computed as the simple average of specificity and credibility. This is calculated externally rather than using the LLM's self-reported talk_score to ensure consistency.</w:t>
      </w:r>
    </w:p>
    <w:p>
      <w:pPr>
        <w:spacing w:after="80" w:before="60"/>
      </w:pPr>
      <w:r>
        <w:rPr>
          <w:rFonts w:ascii="Arial" w:cs="Arial" w:eastAsia="Arial" w:hAnsi="Arial"/>
          <w:sz w:val="22"/>
          <w:szCs w:val="22"/>
        </w:rPr>
        <w:t xml:space="preserve">Step 4 — FinBERT on claims: The extracted claims text is passed to FinBERT (ProsusAI/finbert). Average positive and negative scores are converted to a 0-10 claim sentiment score.</w:t>
      </w:r>
    </w:p>
    <w:p>
      <w:pPr>
        <w:spacing w:after="80" w:before="60"/>
      </w:pPr>
      <w:r>
        <w:rPr>
          <w:rFonts w:ascii="Arial" w:cs="Arial" w:eastAsia="Arial" w:hAnsi="Arial"/>
          <w:sz w:val="22"/>
          <w:szCs w:val="22"/>
        </w:rPr>
        <w:t xml:space="preserve">Step 5 — Hybrid Talk Score: LLM quality score (60%) + FinBERT claim sentiment (40%) = final Hybrid Talk Score (0-10 raw).</w:t>
      </w:r>
    </w:p>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3.3  Walk Score Pipeline</w:t>
      </w:r>
    </w:p>
    <w:p>
      <w:pPr>
        <w:spacing w:after="80" w:before="60"/>
      </w:pPr>
      <w:r>
        <w:rPr>
          <w:rFonts w:ascii="Arial" w:cs="Arial" w:eastAsia="Arial" w:hAnsi="Arial"/>
          <w:sz w:val="22"/>
          <w:szCs w:val="22"/>
        </w:rPr>
        <w:t xml:space="preserve">Step 1 — News fetch: Google News RSS queried per company (Irish locale, en-IE). Up to 5 articles fetched.</w:t>
      </w:r>
    </w:p>
    <w:p>
      <w:pPr>
        <w:spacing w:after="80" w:before="60"/>
      </w:pPr>
      <w:r>
        <w:rPr>
          <w:rFonts w:ascii="Arial" w:cs="Arial" w:eastAsia="Arial" w:hAnsi="Arial"/>
          <w:sz w:val="22"/>
          <w:szCs w:val="22"/>
        </w:rPr>
        <w:t xml:space="preserve">Step 2 — Article body fetch: For each article, BeautifulSoup visits the article URL and extracts the first five paragraphs (up to 1,000 characters). Headlines and body text are pooled.</w:t>
      </w:r>
    </w:p>
    <w:p>
      <w:pPr>
        <w:spacing w:after="80" w:before="60"/>
      </w:pPr>
      <w:r>
        <w:rPr>
          <w:rFonts w:ascii="Arial" w:cs="Arial" w:eastAsia="Arial" w:hAnsi="Arial"/>
          <w:sz w:val="22"/>
          <w:szCs w:val="22"/>
        </w:rPr>
        <w:t xml:space="preserve">Step 3 — FinBERT sentiment: All collected texts (up to 10 per company) are passed through FinBERT individually. Positive, neutral, and negative scores are averaged across all texts.</w:t>
      </w:r>
    </w:p>
    <w:p>
      <w:pPr>
        <w:spacing w:after="80" w:before="60"/>
      </w:pPr>
      <w:r>
        <w:rPr>
          <w:rFonts w:ascii="Arial" w:cs="Arial" w:eastAsia="Arial" w:hAnsi="Arial"/>
          <w:sz w:val="22"/>
          <w:szCs w:val="22"/>
        </w:rPr>
        <w:t xml:space="preserve">Step 4 — Walk Score calculation: Walk Score = 5 + (avg_positive x 5) - (avg_negative x 5). Clamped to [0, 10]. A score of 5 represents neutral coverage.</w:t>
      </w:r>
    </w:p>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3.4  Gap Score &amp;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Step</w:t>
            </w:r>
          </w:p>
        </w:tc>
        <w:tc>
          <w:tcPr>
            <w:tcW w:type="dxa" w:w="616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Normalise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Both Talk Score and Walk Score are min-max normalised across the full dataset to a 0-10 scale, ensuring they are on a directly comparable range before the gap is calculated.</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Gap Score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Gap Score = max(0, (Talk_norm - Walk_norm) / Talk_norm). Measures relative divergence. Returns 0 if Talk is 0 (no claims = no gap).</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Risk Level</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Credible: gap &lt; 0.05  |  Low Risk: 0.05-0.19  |  Medium Risk: 0.20-0.39  |  High Risk: &gt;= 0.40</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Validation</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Bord Bia Origin Green Gold 2025 status used as ground truth. Verified companies are expected to show lower average gap scores, which validates the framework's detection accuracy.</w:t>
            </w:r>
          </w:p>
        </w:tc>
      </w:tr>
    </w:tbl>
    <w:p>
      <w:pPr>
        <w:spacing w:before="80"/>
      </w:pPr>
      <w:r>
        <w:rPr>
          <w:sz w:val="22"/>
          <w:szCs w:val="22"/>
        </w:rPr>
        <w:t xml:space="preserve"/>
      </w:r>
    </w:p>
    <w:p>
      <w:pPr>
        <w:pBdr>
          <w:bottom w:val="single" w:color="BBCFBB" w:sz="4" w:space="1"/>
        </w:pBdr>
        <w:spacing w:after="160" w:before="160"/>
      </w:pPr>
    </w:p>
    <w:p>
      <w:pPr>
        <w:pStyle w:val="Heading1"/>
        <w:spacing w:after="120" w:before="360"/>
      </w:pPr>
      <w:r>
        <w:rPr>
          <w:rFonts w:ascii="Arial" w:cs="Arial" w:eastAsia="Arial" w:hAnsi="Arial"/>
          <w:b/>
          <w:bCs/>
          <w:color w:val="1A3C1E"/>
          <w:sz w:val="32"/>
          <w:szCs w:val="32"/>
        </w:rPr>
        <w:t xml:space="preserve">4. Key Design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Decision</w:t>
            </w:r>
          </w:p>
        </w:tc>
        <w:tc>
          <w:tcPr>
            <w:tcW w:type="dxa" w:w="348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What We Chose</w:t>
            </w:r>
          </w:p>
        </w:tc>
        <w:tc>
          <w:tcPr>
            <w:tcW w:type="dxa" w:w="348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Why</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Data source for Walk</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Google News RSS + article body text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Legally accessible (no ToS risk), 100% coverage of Irish SMEs, bilingual support. Rejected: Glassdoor/Trustpilot scraping due to restrictive Terms of Service.</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Talk Score model</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Groq/Llama 3.1-8b-instant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Free-tier API, fast inference, strong JSON instruction-following. Chosen over OpenAI GPT-4 (cost) and local models (compute requirements).</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Sentiment model</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ProsusAI/FinBERT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Pre-trained on financial and ESG text — significantly more accurate than general sentiment models (VADER, TextBlob) for sustainability language.</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Frontend</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Streamlit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Matched project timeline and team skills. Rejected: React/FastAPI — overbuilt for a 12-week capstone, introduced unnecessary deployment complexity.</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Ground truth</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Bord Bia Origin Green</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Independent third-party certification body. Provides a legally clean, publicly verifiable external benchmark unavailable for other sectors.</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Score normalisation</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Min-max per dataset run</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Ensures Talk and Walk are directly comparable before gap calculation. Avoids artificially inflated gaps from different raw score distributions.</w:t>
            </w:r>
          </w:p>
        </w:tc>
      </w:tr>
    </w:tbl>
    <w:p>
      <w:pPr>
        <w:spacing w:before="80"/>
      </w:pPr>
      <w:r>
        <w:rPr>
          <w:sz w:val="22"/>
          <w:szCs w:val="22"/>
        </w:rPr>
        <w:t xml:space="preserve"/>
      </w:r>
    </w:p>
    <w:p>
      <w:pPr>
        <w:pBdr>
          <w:bottom w:val="single" w:color="BBCFBB" w:sz="4" w:space="1"/>
        </w:pBdr>
        <w:spacing w:after="160" w:before="160"/>
      </w:pPr>
    </w:p>
    <w:p>
      <w:pPr>
        <w:pStyle w:val="Heading1"/>
        <w:spacing w:after="120" w:before="360"/>
      </w:pPr>
      <w:r>
        <w:rPr>
          <w:rFonts w:ascii="Arial" w:cs="Arial" w:eastAsia="Arial" w:hAnsi="Arial"/>
          <w:b/>
          <w:bCs/>
          <w:color w:val="1A3C1E"/>
          <w:sz w:val="32"/>
          <w:szCs w:val="32"/>
        </w:rPr>
        <w:t xml:space="preserve">5. Limitations</w:t>
      </w:r>
    </w:p>
    <w:p>
      <w:pPr>
        <w:pStyle w:val="Heading2"/>
        <w:spacing w:after="100" w:before="280"/>
      </w:pPr>
      <w:r>
        <w:rPr>
          <w:rFonts w:ascii="Arial" w:cs="Arial" w:eastAsia="Arial" w:hAnsi="Arial"/>
          <w:b/>
          <w:bCs/>
          <w:color w:val="2E6B35"/>
          <w:sz w:val="26"/>
          <w:szCs w:val="26"/>
        </w:rPr>
        <w:t xml:space="preserve">5.1  Data Limitations</w:t>
      </w:r>
    </w:p>
    <w:p>
      <w:pPr>
        <w:pStyle w:val="ListParagraph"/>
        <w:numPr>
          <w:ilvl w:val="0"/>
          <w:numId w:val="2"/>
        </w:numPr>
        <w:spacing w:after="40" w:before="40"/>
      </w:pPr>
      <w:r>
        <w:rPr>
          <w:rFonts w:ascii="Arial" w:cs="Arial" w:eastAsia="Arial" w:hAnsi="Arial"/>
          <w:sz w:val="22"/>
          <w:szCs w:val="22"/>
        </w:rPr>
        <w:t xml:space="preserve">Small sample size: 26 companies is sufficient for a pilot study but limits statistical generalisability. Results should be interpreted as indicative rather than conclusive.</w:t>
      </w:r>
    </w:p>
    <w:p>
      <w:pPr>
        <w:pStyle w:val="ListParagraph"/>
        <w:numPr>
          <w:ilvl w:val="0"/>
          <w:numId w:val="2"/>
        </w:numPr>
        <w:spacing w:after="40" w:before="40"/>
      </w:pPr>
      <w:r>
        <w:rPr>
          <w:rFonts w:ascii="Arial" w:cs="Arial" w:eastAsia="Arial" w:hAnsi="Arial"/>
          <w:sz w:val="22"/>
          <w:szCs w:val="22"/>
        </w:rPr>
        <w:t xml:space="preserve">Google News coverage bias: Larger, more PR-active companies generate more news articles, which may inflate their Walk Score regardless of actual ESG performance. Smaller SMEs with low media presence default to a neutral Walk Score of 5.0.</w:t>
      </w:r>
    </w:p>
    <w:p>
      <w:pPr>
        <w:pStyle w:val="ListParagraph"/>
        <w:numPr>
          <w:ilvl w:val="0"/>
          <w:numId w:val="2"/>
        </w:numPr>
        <w:spacing w:after="40" w:before="40"/>
      </w:pPr>
      <w:r>
        <w:rPr>
          <w:rFonts w:ascii="Arial" w:cs="Arial" w:eastAsia="Arial" w:hAnsi="Arial"/>
          <w:sz w:val="22"/>
          <w:szCs w:val="22"/>
        </w:rPr>
        <w:t xml:space="preserve">Website accessibility: Some company websites block automated scraping or return minimal paragraph text, resulting in a Talk Score based on limited or no content. These cases are flagged in the auditor note but cannot be reliably corrected without manual intervention.</w:t>
      </w:r>
    </w:p>
    <w:p>
      <w:pPr>
        <w:pStyle w:val="ListParagraph"/>
        <w:numPr>
          <w:ilvl w:val="0"/>
          <w:numId w:val="2"/>
        </w:numPr>
        <w:spacing w:after="40" w:before="40"/>
      </w:pPr>
      <w:r>
        <w:rPr>
          <w:rFonts w:ascii="Arial" w:cs="Arial" w:eastAsia="Arial" w:hAnsi="Arial"/>
          <w:sz w:val="22"/>
          <w:szCs w:val="22"/>
        </w:rPr>
        <w:t xml:space="preserve">Snapshot data: Both website content and news sentiment represent a point-in-time capture. ESG performance and public sentiment can change rapidly, so scores have a limited shelf life without re-running the pipeline.</w:t>
      </w:r>
    </w:p>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5.2  Model Limitations</w:t>
      </w:r>
    </w:p>
    <w:p>
      <w:pPr>
        <w:pStyle w:val="ListParagraph"/>
        <w:numPr>
          <w:ilvl w:val="0"/>
          <w:numId w:val="2"/>
        </w:numPr>
        <w:spacing w:after="40" w:before="40"/>
      </w:pPr>
      <w:r>
        <w:rPr>
          <w:rFonts w:ascii="Arial" w:cs="Arial" w:eastAsia="Arial" w:hAnsi="Arial"/>
          <w:sz w:val="22"/>
          <w:szCs w:val="22"/>
        </w:rPr>
        <w:t xml:space="preserve">FinBERT neutrality bias: FinBERT classifies the majority of Irish food industry news as neutral (typical positive scores: 0.02-0.08), which compresses the Walk Score distribution around 5.0 and reduces the dynamic range of the gap score. This is a known characteristic of FinBERT on low-controversy business news.</w:t>
      </w:r>
    </w:p>
    <w:p>
      <w:pPr>
        <w:pStyle w:val="ListParagraph"/>
        <w:numPr>
          <w:ilvl w:val="0"/>
          <w:numId w:val="2"/>
        </w:numPr>
        <w:spacing w:after="40" w:before="40"/>
      </w:pPr>
      <w:r>
        <w:rPr>
          <w:rFonts w:ascii="Arial" w:cs="Arial" w:eastAsia="Arial" w:hAnsi="Arial"/>
          <w:sz w:val="22"/>
          <w:szCs w:val="22"/>
        </w:rPr>
        <w:t xml:space="preserve">LLM consistency: Despite temperature=0.1 and structured prompting, Llama 3.1 occasionally produces inconsistent specificity/credibility scores for similar levels of claim quality. The external recalculation (specificity + credibility) / 2 partially mitigates this.</w:t>
      </w:r>
    </w:p>
    <w:p>
      <w:pPr>
        <w:pStyle w:val="ListParagraph"/>
        <w:numPr>
          <w:ilvl w:val="0"/>
          <w:numId w:val="2"/>
        </w:numPr>
        <w:spacing w:after="40" w:before="40"/>
      </w:pPr>
      <w:r>
        <w:rPr>
          <w:rFonts w:ascii="Arial" w:cs="Arial" w:eastAsia="Arial" w:hAnsi="Arial"/>
          <w:sz w:val="22"/>
          <w:szCs w:val="22"/>
        </w:rPr>
        <w:t xml:space="preserve">LLM context window: Website text is truncated to 2,000 characters to stay within token limits. Companies with sustainability information buried deep in their website may be underscored.</w:t>
      </w:r>
    </w:p>
    <w:p>
      <w:pPr>
        <w:pStyle w:val="ListParagraph"/>
        <w:numPr>
          <w:ilvl w:val="0"/>
          <w:numId w:val="2"/>
        </w:numPr>
        <w:spacing w:after="40" w:before="40"/>
      </w:pPr>
      <w:r>
        <w:rPr>
          <w:rFonts w:ascii="Arial" w:cs="Arial" w:eastAsia="Arial" w:hAnsi="Arial"/>
          <w:sz w:val="22"/>
          <w:szCs w:val="22"/>
        </w:rPr>
        <w:t xml:space="preserve">English-only: Both FinBERT and Llama 3.1 are optimised for English text. Irish-language content on company websites or in news articles is not handled.</w:t>
      </w:r>
    </w:p>
    <w:p>
      <w:pPr>
        <w:spacing w:before="80"/>
      </w:pPr>
      <w:r>
        <w:rPr>
          <w:sz w:val="22"/>
          <w:szCs w:val="22"/>
        </w:rPr>
        <w:t xml:space="preserve"/>
      </w:r>
    </w:p>
    <w:p>
      <w:pPr>
        <w:pStyle w:val="Heading2"/>
        <w:spacing w:after="100" w:before="280"/>
      </w:pPr>
      <w:r>
        <w:rPr>
          <w:rFonts w:ascii="Arial" w:cs="Arial" w:eastAsia="Arial" w:hAnsi="Arial"/>
          <w:b/>
          <w:bCs/>
          <w:color w:val="2E6B35"/>
          <w:sz w:val="26"/>
          <w:szCs w:val="26"/>
        </w:rPr>
        <w:t xml:space="preserve">5.3  Methodological Limitations</w:t>
      </w:r>
    </w:p>
    <w:p>
      <w:pPr>
        <w:pStyle w:val="ListParagraph"/>
        <w:numPr>
          <w:ilvl w:val="0"/>
          <w:numId w:val="2"/>
        </w:numPr>
        <w:spacing w:after="40" w:before="40"/>
      </w:pPr>
      <w:r>
        <w:rPr>
          <w:rFonts w:ascii="Arial" w:cs="Arial" w:eastAsia="Arial" w:hAnsi="Arial"/>
          <w:sz w:val="22"/>
          <w:szCs w:val="22"/>
        </w:rPr>
        <w:t xml:space="preserve">Gap Score interpretation: A high gap score indicates a claim-reality divergence but cannot confirm intent. A company may genuinely be improving its practices without yet receiving positive press coverage.</w:t>
      </w:r>
    </w:p>
    <w:p>
      <w:pPr>
        <w:pStyle w:val="ListParagraph"/>
        <w:numPr>
          <w:ilvl w:val="0"/>
          <w:numId w:val="2"/>
        </w:numPr>
        <w:spacing w:after="40" w:before="40"/>
      </w:pPr>
      <w:r>
        <w:rPr>
          <w:rFonts w:ascii="Arial" w:cs="Arial" w:eastAsia="Arial" w:hAnsi="Arial"/>
          <w:sz w:val="22"/>
          <w:szCs w:val="22"/>
        </w:rPr>
        <w:t xml:space="preserve">No causal inference: The framework detects correlation between high ESG claims and low public sentiment — it cannot establish that a company is deliberately misleading stakeholders.</w:t>
      </w:r>
    </w:p>
    <w:p>
      <w:pPr>
        <w:pStyle w:val="ListParagraph"/>
        <w:numPr>
          <w:ilvl w:val="0"/>
          <w:numId w:val="2"/>
        </w:numPr>
        <w:spacing w:after="40" w:before="40"/>
      </w:pPr>
      <w:r>
        <w:rPr>
          <w:rFonts w:ascii="Arial" w:cs="Arial" w:eastAsia="Arial" w:hAnsi="Arial"/>
          <w:sz w:val="22"/>
          <w:szCs w:val="22"/>
        </w:rPr>
        <w:t xml:space="preserve">Bord Bia as ground truth: While Bord Bia Origin Green is a respected certification, it covers a specific subset of ESG criteria focused on food sustainability. It is not a comprehensive ESG audit standard and may not capture social or governance dimensions.</w:t>
      </w:r>
    </w:p>
    <w:p>
      <w:pPr>
        <w:pStyle w:val="ListParagraph"/>
        <w:numPr>
          <w:ilvl w:val="0"/>
          <w:numId w:val="2"/>
        </w:numPr>
        <w:spacing w:after="40" w:before="40"/>
      </w:pPr>
      <w:r>
        <w:rPr>
          <w:rFonts w:ascii="Arial" w:cs="Arial" w:eastAsia="Arial" w:hAnsi="Arial"/>
          <w:sz w:val="22"/>
          <w:szCs w:val="22"/>
        </w:rPr>
        <w:t xml:space="preserve">Min-max normalisation sensitivity: Normalisation is computed across the current dataset. Adding or removing companies changes all normalised scores, meaning scores are not stable across different dataset runs.</w:t>
      </w:r>
    </w:p>
    <w:p>
      <w:pPr>
        <w:spacing w:before="80"/>
      </w:pPr>
      <w:r>
        <w:rPr>
          <w:sz w:val="22"/>
          <w:szCs w:val="22"/>
        </w:rPr>
        <w:t xml:space="preserve"/>
      </w:r>
    </w:p>
    <w:p>
      <w:pPr>
        <w:pBdr>
          <w:bottom w:val="single" w:color="BBCFBB" w:sz="4" w:space="1"/>
        </w:pBdr>
        <w:spacing w:after="160" w:before="160"/>
      </w:pPr>
    </w:p>
    <w:p>
      <w:pPr>
        <w:pStyle w:val="Heading1"/>
        <w:spacing w:after="120" w:before="360"/>
      </w:pPr>
      <w:r>
        <w:rPr>
          <w:rFonts w:ascii="Arial" w:cs="Arial" w:eastAsia="Arial" w:hAnsi="Arial"/>
          <w:b/>
          <w:bCs/>
          <w:color w:val="1A3C1E"/>
          <w:sz w:val="32"/>
          <w:szCs w:val="32"/>
        </w:rPr>
        <w:t xml:space="preserve">6. Suggested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Area</w:t>
            </w:r>
          </w:p>
        </w:tc>
        <w:tc>
          <w:tcPr>
            <w:tcW w:type="dxa" w:w="616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Recommendation</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Scale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Expand to 100+ SMEs across multiple sectors to improve statistical power and enable cross-sector comparisons.</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Walk Score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Incorporate employee review platforms (Glassdoor, Indeed) as an additional Walk Score signal for the Social dimension of ESG, using the Indeed MCP connector already available in the tool.</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Talk Score</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Fine-tune a domain-specific ESG claim quality model on Irish food industry text rather than relying on a general-purpose LLM.</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Temporal analysis</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Re-run the pipeline quarterly to track changes in gap scores over time and evaluate whether regulatory pressure or certification drives convergence.</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Explainability</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Integrate SHAP values on a downstream classification model to provide feature-level explanations for why a company was flagged as high risk.</w:t>
            </w:r>
          </w:p>
        </w:tc>
      </w:tr>
      <w:tr>
        <w:tc>
          <w:tcPr>
            <w:tcW w:type="dxa" w:w="32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Validation</w:t>
            </w:r>
          </w:p>
        </w:tc>
        <w:tc>
          <w:tcPr>
            <w:tcW w:type="dxa" w:w="616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Commission a manual expert audit of 10-15 flagged companies to calculate precision/recall for the pipeline's risk classifications.</w:t>
            </w:r>
          </w:p>
        </w:tc>
      </w:tr>
    </w:tbl>
    <w:p>
      <w:pPr>
        <w:spacing w:before="80"/>
      </w:pPr>
      <w:r>
        <w:rPr>
          <w:sz w:val="22"/>
          <w:szCs w:val="22"/>
        </w:rPr>
        <w:t xml:space="preserve"/>
      </w:r>
    </w:p>
    <w:p>
      <w:pPr>
        <w:pBdr>
          <w:bottom w:val="single" w:color="BBCFBB" w:sz="4" w:space="1"/>
        </w:pBdr>
        <w:spacing w:after="160" w:before="160"/>
      </w:pPr>
    </w:p>
    <w:p>
      <w:pPr>
        <w:pStyle w:val="Heading1"/>
        <w:spacing w:after="120" w:before="360"/>
      </w:pPr>
      <w:r>
        <w:rPr>
          <w:rFonts w:ascii="Arial" w:cs="Arial" w:eastAsia="Arial" w:hAnsi="Arial"/>
          <w:b/>
          <w:bCs/>
          <w:color w:val="1A3C1E"/>
          <w:sz w:val="32"/>
          <w:szCs w:val="32"/>
        </w:rPr>
        <w:t xml:space="preserve">7.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Stage</w:t>
            </w:r>
          </w:p>
        </w:tc>
        <w:tc>
          <w:tcPr>
            <w:tcW w:type="dxa" w:w="348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Input</w:t>
            </w:r>
          </w:p>
        </w:tc>
        <w:tc>
          <w:tcPr>
            <w:tcW w:type="dxa" w:w="3480"/>
            <w:tcBorders>
              <w:top w:val="single" w:color="BBCFBB" w:sz="1"/>
              <w:left w:val="single" w:color="BBCFBB" w:sz="1"/>
              <w:bottom w:val="single" w:color="BBCFBB" w:sz="1"/>
              <w:right w:val="single" w:color="BBCFBB" w:sz="1"/>
            </w:tcBorders>
            <w:shd w:fill="2E6B35" w:val="clear"/>
            <w:tcMar>
              <w:top w:type="dxa" w:w="100"/>
              <w:left w:type="dxa" w:w="140"/>
              <w:bottom w:type="dxa" w:w="100"/>
              <w:right w:type="dxa" w:w="140"/>
            </w:tcMar>
          </w:tcPr>
          <w:p>
            <w:r>
              <w:rPr>
                <w:rFonts w:ascii="Arial" w:cs="Arial" w:eastAsia="Arial" w:hAnsi="Arial"/>
                <w:b/>
                <w:bCs/>
                <w:color w:val="FFFFFF"/>
                <w:sz w:val="21"/>
                <w:szCs w:val="21"/>
              </w:rPr>
              <w:t xml:space="preserve">Output</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1. Data Load</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combined_companies.csv</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companies[] list, sector breakdown</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2. Talk — LLM</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Company website text (scraped)</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Specificity, credibility, claims, greenwash signals per company</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2. Talk — FinBERT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Extracted ESG claims (from LLM)</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Claim sentiment score (0-10)</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2. Talk — Hybrid</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LLM quality + FinBERT claim score</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Hybrid Talk Score = (LLM x 0.6) + (FinBERT x 0.4)</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3. Walk — News</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Google News RSS + article URLs</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Headlines + article body text per company</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3. Walk — FinBERT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Headlines + article body text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walk_positive, walk_neutral, walk_negative, Walk Score (0-10)</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4. Gap Analysis</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Talk norm + Walk norm (0-10)</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Gap Score (0-1), Risk Level, sector breakdown</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5. Recommendations</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Gap Score, signals, sector data</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Per-company action points, sector insights</w:t>
            </w:r>
          </w:p>
        </w:tc>
      </w:tr>
      <w:tr>
        <w:tc>
          <w:tcPr>
            <w:tcW w:type="dxa" w:w="2400"/>
            <w:tcBorders>
              <w:top w:val="single" w:color="BBCFBB" w:sz="1"/>
              <w:left w:val="single" w:color="BBCFBB" w:sz="1"/>
              <w:bottom w:val="single" w:color="BBCFBB" w:sz="1"/>
              <w:right w:val="single" w:color="BBCFBB" w:sz="1"/>
            </w:tcBorders>
            <w:shd w:fill="D6EDD8" w:val="clear"/>
            <w:tcMar>
              <w:top w:type="dxa" w:w="100"/>
              <w:left w:type="dxa" w:w="140"/>
              <w:bottom w:type="dxa" w:w="100"/>
              <w:right w:type="dxa" w:w="140"/>
            </w:tcMar>
          </w:tcPr>
          <w:p>
            <w:r>
              <w:rPr>
                <w:rFonts w:ascii="Arial" w:cs="Arial" w:eastAsia="Arial" w:hAnsi="Arial"/>
                <w:color w:val="1A3C1E"/>
                <w:sz w:val="21"/>
                <w:szCs w:val="21"/>
              </w:rPr>
              <w:t xml:space="preserve">6. Export</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df_final</w:t>
            </w:r>
          </w:p>
        </w:tc>
        <w:tc>
          <w:tcPr>
            <w:tcW w:type="dxa" w:w="3480"/>
            <w:tcBorders>
              <w:top w:val="single" w:color="BBCFBB" w:sz="1"/>
              <w:left w:val="single" w:color="BBCFBB" w:sz="1"/>
              <w:bottom w:val="single" w:color="BBCFBB" w:sz="1"/>
              <w:right w:val="single" w:color="BBCFBB"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final_greenwashing_report.csv (feeds dashboard)</w:t>
            </w:r>
          </w:p>
        </w:tc>
      </w:tr>
    </w:tbl>
    <w:p>
      <w:pPr>
        <w:spacing w:before="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BB" w:sz="1"/>
              <w:left w:val="single" w:color="BBCFBB" w:sz="1"/>
              <w:bottom w:val="single" w:color="BBCFBB" w:sz="1"/>
              <w:right w:val="single" w:color="BBCFBB" w:sz="1"/>
            </w:tcBorders>
            <w:shd w:fill="F4F7F4" w:val="clear"/>
            <w:tcMar>
              <w:top w:type="dxa" w:w="100"/>
              <w:left w:type="dxa" w:w="140"/>
              <w:bottom w:type="dxa" w:w="100"/>
              <w:right w:type="dxa" w:w="140"/>
            </w:tcMar>
          </w:tcPr>
          <w:p>
            <w:pPr>
              <w:spacing w:after="60" w:before="0"/>
            </w:pPr>
            <w:r>
              <w:rPr>
                <w:rFonts w:ascii="Arial" w:cs="Arial" w:eastAsia="Arial" w:hAnsi="Arial"/>
                <w:b/>
                <w:bCs/>
                <w:color w:val="666666"/>
                <w:sz w:val="20"/>
                <w:szCs w:val="20"/>
              </w:rPr>
              <w:t xml:space="preserve">Document Note</w:t>
            </w:r>
          </w:p>
          <w:p>
            <w:pPr>
              <w:spacing w:after="0" w:before="0"/>
            </w:pPr>
            <w:r>
              <w:rPr>
                <w:rFonts w:ascii="Arial" w:cs="Arial" w:eastAsia="Arial" w:hAnsi="Arial"/>
                <w:color w:val="333333"/>
                <w:sz w:val="21"/>
                <w:szCs w:val="21"/>
              </w:rPr>
              <w:t xml:space="preserve">This outline documents the methodology as implemented in GreenLens v1.0 (Hybrid Pipeline). All code, data pipeline, and dashboard are available in the project repository. For the full dissertation, refer to the academic write-up which includes citations, statistical validation, and extended literature review.</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GreenLens — Capstone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1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6B3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90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2026-05-05T21:12:52.693Z</dcterms:created>
  <dcterms:modified xsi:type="dcterms:W3CDTF">2026-05-05T21:12:52.693Z</dcterms:modified>
</cp:coreProperties>
</file>

<file path=docProps/custom.xml><?xml version="1.0" encoding="utf-8"?>
<Properties xmlns="http://schemas.openxmlformats.org/officeDocument/2006/custom-properties" xmlns:vt="http://schemas.openxmlformats.org/officeDocument/2006/docPropsVTypes"/>
</file>