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Text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1601532</wp:posOffset>
            </wp:positionH>
            <wp:positionV relativeFrom="page">
              <wp:posOffset>3463340</wp:posOffset>
            </wp:positionV>
            <wp:extent cx="5054603" cy="361353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 Neue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Helvetica Neue"/>
              </a:rPr>
              <a:t>{{my_chart}}</a:t>
            </a:r>
          </a:p>
        </c:rich>
      </c:tx>
      <c:layout>
        <c:manualLayout>
          <c:xMode val="edge"/>
          <c:yMode val="edge"/>
          <c:x val="0.417643"/>
          <c:y val="0"/>
          <c:w val="0.164713"/>
          <c:h val="0.0892138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716205"/>
          <c:y val="0.0892138"/>
          <c:w val="0.92338"/>
          <c:h val="0.84189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Region 1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27.000000</c:v>
                </c:pt>
                <c:pt idx="1">
                  <c:v>36.000000</c:v>
                </c:pt>
                <c:pt idx="2">
                  <c:v>63.000000</c:v>
                </c:pt>
                <c:pt idx="3">
                  <c:v>143.000000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Region 2</c:v>
                </c:pt>
              </c:strCache>
            </c:strRef>
          </c:tx>
          <c:spPr>
            <a:solidFill>
              <a:schemeClr val="accent3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55.000000</c:v>
                </c:pt>
                <c:pt idx="1">
                  <c:v>43.000000</c:v>
                </c:pt>
                <c:pt idx="2">
                  <c:v>80.000000</c:v>
                </c:pt>
                <c:pt idx="3">
                  <c:v>48.000000</c:v>
                </c:pt>
              </c:numCache>
            </c:numRef>
          </c:val>
        </c:ser>
        <c:gapWidth val="40"/>
        <c:overlap val="10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50"/>
        <c:minorUnit val="2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376885"/>
          <c:y val="0.0392366"/>
          <c:w val="0.929648"/>
          <c:h val="0.066190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21_Blank_Layout">
  <a:themeElements>
    <a:clrScheme name="21_Blank_Layou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Blank_Layou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Blank_Layou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