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Adversarial Machine Learning Assessment of an IDS Classifier</w:t>
      </w:r>
    </w:p>
    <w:p>
      <w:pPr>
        <w:jc w:val="center"/>
      </w:pPr>
      <w:r>
        <w:t>Security Research / Red-Team Style Report</w:t>
      </w:r>
    </w:p>
    <w:p/>
    <w:p>
      <w:r>
        <w:t>Generated: 2026-09-28T23:36:46</w:t>
      </w:r>
    </w:p>
    <w:p>
      <w:pPr>
        <w:pStyle w:val="Heading1"/>
      </w:pPr>
      <w:r>
        <w:t>1. Executive Summary</w:t>
      </w:r>
    </w:p>
    <w:p>
      <w:r>
        <w:t>This project built and evaluated a machine-learning intrusion detection system under adversarial evasion conditions. The baseline IDS performed strongly on clean data, but unconstrained white-box attacks were able to evade the PyTorch model at very high rates. When perturbations were restricted to a conservative set of operationally plausible network-flow features, evasion dropped substantially, showing that feasibility constraints materially change the security interpretation.</w:t>
      </w:r>
    </w:p>
    <w:p>
      <w:r>
        <w:t>At epsilon 0.100, unconstrained PGD evasion reached 99.67%, while constrained PGD evasion was 48.19%. The black-box transfer attack produced 41.67% PyTorch transfer evasion and 13.35% XGBoost transfer evasion at epsilon 0.100. HopSkipJump produced raw adversarial examples, but projected constrained evasion was 0.00% at epsilon 0.100. Adversarial training was the strongest tested defense, reducing constrained FGSM and PGD evasion to the low single digits while preserving high attack recall.</w:t>
      </w:r>
    </w:p>
    <w:p>
      <w:pPr>
        <w:pStyle w:val="Heading1"/>
      </w:pPr>
      <w:r>
        <w:t>2. Threat Model</w:t>
      </w:r>
    </w:p>
    <w:p>
      <w:r>
        <w:t>The attacker goal is evasion: real attack traffic is modified at inference time so that the IDS predicts it as benign. The project evaluated three levels of attacker knowledge:</w:t>
      </w:r>
    </w:p>
    <w:p>
      <w:pPr>
        <w:pStyle w:val="ListBullet"/>
      </w:pPr>
      <w:r>
        <w:t>White-box: the attacker has access to model architecture, weights, and gradients.</w:t>
      </w:r>
    </w:p>
    <w:p>
      <w:pPr>
        <w:pStyle w:val="ListBullet"/>
      </w:pPr>
      <w:r>
        <w:t>Black-box transfer: the attacker trains a separate surrogate model and transfers adversarial examples to the protected model.</w:t>
      </w:r>
    </w:p>
    <w:p>
      <w:pPr>
        <w:pStyle w:val="ListBullet"/>
      </w:pPr>
      <w:r>
        <w:t>Decision-based black-box: the attacker only observes predicted labels from the target model.</w:t>
      </w:r>
    </w:p>
    <w:p>
      <w:r>
        <w:t>The attacker is not allowed to change arbitrary features. Network-flow features must remain within scaled bounds and, for constrained attacks, only attacker-controllable features may be perturbed.</w:t>
      </w:r>
    </w:p>
    <w:p>
      <w:pPr>
        <w:pStyle w:val="Heading1"/>
      </w:pPr>
      <w:r>
        <w:t>3. System Under Test</w:t>
      </w:r>
    </w:p>
    <w:p>
      <w:r>
        <w:t>The protected IDS system includes two clean baseline models:</w:t>
      </w:r>
    </w:p>
    <w:p>
      <w:pPr>
        <w:pStyle w:val="ListBullet"/>
      </w:pPr>
      <w:r>
        <w:t>PyTorch neural-network IDS used as the differentiable white-box target.</w:t>
      </w:r>
    </w:p>
    <w:p>
      <w:pPr>
        <w:pStyle w:val="ListBullet"/>
      </w:pPr>
      <w:r>
        <w:t>XGBoost IDS used as a stronger non-neural comparison model.</w:t>
      </w:r>
    </w:p>
    <w:p>
      <w:r>
        <w:t>The PyTorch baseline metrics were:</w:t>
      </w:r>
    </w:p>
    <w:p>
      <w:pPr>
        <w:pStyle w:val="ListBullet"/>
      </w:pPr>
      <w:r>
        <w:t>Clean accuracy: 98.04%</w:t>
      </w:r>
    </w:p>
    <w:p>
      <w:pPr>
        <w:pStyle w:val="ListBullet"/>
      </w:pPr>
      <w:r>
        <w:t>Attack precision: 99.07%</w:t>
      </w:r>
    </w:p>
    <w:p>
      <w:pPr>
        <w:pStyle w:val="ListBullet"/>
      </w:pPr>
      <w:r>
        <w:t>Attack recall: 98.43%</w:t>
      </w:r>
    </w:p>
    <w:p>
      <w:pPr>
        <w:pStyle w:val="ListBullet"/>
      </w:pPr>
      <w:r>
        <w:t>Attack F1: 98.75%</w:t>
      </w:r>
    </w:p>
    <w:p>
      <w:pPr>
        <w:pStyle w:val="ListBullet"/>
      </w:pPr>
      <w:r>
        <w:t>False positive rate: 3.39%</w:t>
      </w:r>
    </w:p>
    <w:p>
      <w:r>
        <w:t>The XGBoost baseline metrics were:</w:t>
      </w:r>
    </w:p>
    <w:p>
      <w:pPr>
        <w:pStyle w:val="ListBullet"/>
      </w:pPr>
      <w:r>
        <w:t>Clean accuracy: 99.93%</w:t>
      </w:r>
    </w:p>
    <w:p>
      <w:pPr>
        <w:pStyle w:val="ListBullet"/>
      </w:pPr>
      <w:r>
        <w:t>Attack precision: 99.93%</w:t>
      </w:r>
    </w:p>
    <w:p>
      <w:pPr>
        <w:pStyle w:val="ListBullet"/>
      </w:pPr>
      <w:r>
        <w:t>Attack recall: 99.98%</w:t>
      </w:r>
    </w:p>
    <w:p>
      <w:pPr>
        <w:pStyle w:val="ListBullet"/>
      </w:pPr>
      <w:r>
        <w:t>Attack F1: 99.96%</w:t>
      </w:r>
    </w:p>
    <w:p>
      <w:pPr>
        <w:pStyle w:val="ListBullet"/>
      </w:pPr>
      <w:r>
        <w:t>False positive rate: 0.25%</w:t>
      </w:r>
    </w:p>
    <w:p>
      <w:pPr>
        <w:pStyle w:val="Heading1"/>
      </w:pPr>
      <w:r>
        <w:t>4. Dataset and Preprocessing</w:t>
      </w:r>
    </w:p>
    <w:p>
      <w:r>
        <w:t>The modeling pipeline used the supplied MachineLearningCSV flow records. The processed dataset was split into training, validation, and test partitions. The fitted preprocessing objects were frozen after baseline training.</w:t>
      </w:r>
    </w:p>
    <w:p>
      <w:r>
        <w:t>Preprocessing controls:</w:t>
      </w:r>
    </w:p>
    <w:p>
      <w:pPr>
        <w:pStyle w:val="ListBullet"/>
      </w:pPr>
      <w:r>
        <w:t>Median imputation fitted on training data only.</w:t>
      </w:r>
    </w:p>
    <w:p>
      <w:pPr>
        <w:pStyle w:val="ListBullet"/>
      </w:pPr>
      <w:r>
        <w:t>MinMax scaling fitted on training data only.</w:t>
      </w:r>
    </w:p>
    <w:p>
      <w:pPr>
        <w:pStyle w:val="ListBullet"/>
      </w:pPr>
      <w:r>
        <w:t>Test set preserved as the downstream reference set.</w:t>
      </w:r>
    </w:p>
    <w:p>
      <w:pPr>
        <w:pStyle w:val="ListBullet"/>
      </w:pPr>
      <w:r>
        <w:t>Scaled feature range clipped to [0, 1].</w:t>
      </w:r>
    </w:p>
    <w:p>
      <w:pPr>
        <w:pStyle w:val="ListBullet"/>
      </w:pPr>
      <w:r>
        <w:t>Baseline artifacts frozen with SHA256 manifests.</w:t>
      </w:r>
    </w:p>
    <w:p>
      <w:pPr>
        <w:pStyle w:val="Heading1"/>
      </w:pPr>
      <w:r>
        <w:t>5. Attack Surface and Feasibility Analysis</w:t>
      </w:r>
    </w:p>
    <w:p>
      <w:r>
        <w:t>The feasibility analysis classified 78 model input features. Only 5 were allowed to change during constrained attacks:</w:t>
      </w:r>
    </w:p>
    <w:p>
      <w:pPr>
        <w:pStyle w:val="ListBullet"/>
      </w:pPr>
      <w:r>
        <w:t>Flow Duration</w:t>
      </w:r>
    </w:p>
    <w:p>
      <w:pPr>
        <w:pStyle w:val="ListBullet"/>
      </w:pPr>
      <w:r>
        <w:t>Total Fwd Packets</w:t>
      </w:r>
    </w:p>
    <w:p>
      <w:pPr>
        <w:pStyle w:val="ListBullet"/>
      </w:pPr>
      <w:r>
        <w:t>Total Length of Fwd Packets</w:t>
      </w:r>
    </w:p>
    <w:p>
      <w:pPr>
        <w:pStyle w:val="ListBullet"/>
      </w:pPr>
      <w:r>
        <w:t>Init_Win_bytes_forward</w:t>
      </w:r>
    </w:p>
    <w:p>
      <w:pPr>
        <w:pStyle w:val="ListBullet"/>
      </w:pPr>
      <w:r>
        <w:t>act_data_pkt_fwd</w:t>
      </w:r>
    </w:p>
    <w:p>
      <w:r>
        <w:t>The remaining 73 features were frozen because they were derived, server-side, context-dependent, protocol-state dependent, or not included in the conservative attacker-controllable set.</w:t>
      </w:r>
    </w:p>
    <w:p>
      <w:r>
        <w:t>This distinction is central to the assessment. Unconstrained attacks show mathematical vulnerability. Constrained attacks provide the more meaningful operational security result.</w:t>
      </w:r>
    </w:p>
    <w:p>
      <w:pPr>
        <w:pStyle w:val="Heading1"/>
      </w:pPr>
      <w:r>
        <w:t>6. White-Box Attack Results</w:t>
      </w:r>
    </w:p>
    <w:p>
      <w:r>
        <w:t>White-box attacks were run against the PyTorch IDS using FGSM and PGD across multiple epsilon values.</w:t>
      </w:r>
    </w:p>
    <w:p>
      <w:r>
        <w:t>At epsilon 0.100:</w:t>
      </w:r>
    </w:p>
    <w:p>
      <w:pPr>
        <w:pStyle w:val="ListBullet"/>
      </w:pPr>
      <w:r>
        <w:t>FGSM unconstrained evasion: 99.19%</w:t>
      </w:r>
    </w:p>
    <w:p>
      <w:pPr>
        <w:pStyle w:val="ListBullet"/>
      </w:pPr>
      <w:r>
        <w:t>FGSM constrained evasion: 46.42%</w:t>
      </w:r>
    </w:p>
    <w:p>
      <w:pPr>
        <w:pStyle w:val="ListBullet"/>
      </w:pPr>
      <w:r>
        <w:t>PGD unconstrained evasion: 99.67%</w:t>
      </w:r>
    </w:p>
    <w:p>
      <w:pPr>
        <w:pStyle w:val="ListBullet"/>
      </w:pPr>
      <w:r>
        <w:t>PGD constrained evasion: 48.19%</w:t>
      </w:r>
    </w:p>
    <w:p>
      <w:r>
        <w:t>The gap between unconstrained and constrained results shows that many mathematically successful adversarial perturbations depend on changing features outside the conservative attacker-controllable set.</w:t>
      </w:r>
    </w:p>
    <w:p>
      <w:pPr>
        <w:pStyle w:val="Heading1"/>
      </w:pPr>
      <w:r>
        <w:t>7. Black-Box Attack Results</w:t>
      </w:r>
    </w:p>
    <w:p>
      <w:pPr>
        <w:pStyle w:val="Heading2"/>
      </w:pPr>
      <w:r>
        <w:t>Transfer Attack</w:t>
      </w:r>
    </w:p>
    <w:p>
      <w:r>
        <w:t>The transfer attack trained an independent surrogate network, crafted constrained PGD examples against the surrogate, and submitted the same examples to the protected PyTorch and XGBoost models.</w:t>
      </w:r>
    </w:p>
    <w:p>
      <w:r>
        <w:t>At epsilon 0.100:</w:t>
      </w:r>
    </w:p>
    <w:p>
      <w:pPr>
        <w:pStyle w:val="ListBullet"/>
      </w:pPr>
      <w:r>
        <w:t>PyTorch transfer evasion: 41.67%</w:t>
      </w:r>
    </w:p>
    <w:p>
      <w:pPr>
        <w:pStyle w:val="ListBullet"/>
      </w:pPr>
      <w:r>
        <w:t>XGBoost transfer evasion: 13.35%</w:t>
      </w:r>
    </w:p>
    <w:p>
      <w:r>
        <w:t>This confirms that some adversarial risk transfers across models even without direct access to protected-model weights.</w:t>
      </w:r>
    </w:p>
    <w:p>
      <w:pPr>
        <w:pStyle w:val="Heading2"/>
      </w:pPr>
      <w:r>
        <w:t>HopSkipJump Decision-Based Attack</w:t>
      </w:r>
    </w:p>
    <w:p>
      <w:r>
        <w:t>HopSkipJump generated raw decision-based adversarial examples. After projecting the examples back into the constrained feature space, projected evasion at epsilon 0.100 was:</w:t>
      </w:r>
    </w:p>
    <w:p>
      <w:pPr>
        <w:pStyle w:val="ListBullet"/>
      </w:pPr>
      <w:r>
        <w:t>HopSkipJump projected evasion: 0.00%</w:t>
      </w:r>
    </w:p>
    <w:p>
      <w:r>
        <w:t>This result indicates that the raw decision-based attack found mathematical adversarial examples, but the conservative feasibility projection removed the evasion effect in the tested configuration.</w:t>
      </w:r>
    </w:p>
    <w:p>
      <w:pPr>
        <w:pStyle w:val="Heading1"/>
      </w:pPr>
      <w:r>
        <w:t>8. Defense Results</w:t>
      </w:r>
    </w:p>
    <w:p>
      <w:r>
        <w:t>Two defenses were tested:</w:t>
      </w:r>
    </w:p>
    <w:p>
      <w:pPr>
        <w:pStyle w:val="ListBullet"/>
      </w:pPr>
      <w:r>
        <w:t>Feature squeezing</w:t>
      </w:r>
    </w:p>
    <w:p>
      <w:pPr>
        <w:pStyle w:val="ListBullet"/>
      </w:pPr>
      <w:r>
        <w:t>Adversarial training</w:t>
      </w:r>
    </w:p>
    <w:p>
      <w:r>
        <w:t>The main comparison table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994"/>
          </w:tcPr>
          <w:p>
            <w:r>
              <w:rPr>
                <w:b/>
              </w:rPr>
              <w:t>clean_accuracy</w:t>
            </w:r>
          </w:p>
        </w:tc>
        <w:tc>
          <w:tcPr>
            <w:tcW w:type="dxa" w:w="994"/>
          </w:tcPr>
          <w:p>
            <w:r>
              <w:rPr>
                <w:b/>
              </w:rPr>
              <w:t>clean_attack_recall</w:t>
            </w:r>
          </w:p>
        </w:tc>
        <w:tc>
          <w:tcPr>
            <w:tcW w:type="dxa" w:w="994"/>
          </w:tcPr>
          <w:p>
            <w:r>
              <w:rPr>
                <w:b/>
              </w:rPr>
              <w:t>false_positive_rate</w:t>
            </w:r>
          </w:p>
        </w:tc>
        <w:tc>
          <w:tcPr>
            <w:tcW w:type="dxa" w:w="994"/>
          </w:tcPr>
          <w:p>
            <w:r>
              <w:rPr>
                <w:b/>
              </w:rPr>
              <w:t>fgsm_constrained_evasion_eps_0_100</w:t>
            </w:r>
          </w:p>
        </w:tc>
        <w:tc>
          <w:tcPr>
            <w:tcW w:type="dxa" w:w="994"/>
          </w:tcPr>
          <w:p>
            <w:r>
              <w:rPr>
                <w:b/>
              </w:rPr>
              <w:t>pgd_constrained_evasion_eps_0_100</w:t>
            </w:r>
          </w:p>
        </w:tc>
        <w:tc>
          <w:tcPr>
            <w:tcW w:type="dxa" w:w="994"/>
          </w:tcPr>
          <w:p>
            <w:r>
              <w:rPr>
                <w:b/>
              </w:rPr>
              <w:t>transfer_pytorch_evasion_eps_0_100</w:t>
            </w:r>
          </w:p>
        </w:tc>
        <w:tc>
          <w:tcPr>
            <w:tcW w:type="dxa" w:w="994"/>
          </w:tcPr>
          <w:p>
            <w:r>
              <w:rPr>
                <w:b/>
              </w:rPr>
              <w:t>transfer_xgboost_evasion_eps_0_100</w:t>
            </w:r>
          </w:p>
        </w:tc>
        <w:tc>
          <w:tcPr>
            <w:tcW w:type="dxa" w:w="994"/>
          </w:tcPr>
          <w:p>
            <w:r>
              <w:rPr>
                <w:b/>
              </w:rPr>
              <w:t>hopskipjump_projected_evasion_eps_0_100</w:t>
            </w:r>
          </w:p>
        </w:tc>
        <w:tc>
          <w:tcPr>
            <w:tcW w:type="dxa" w:w="99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994"/>
          </w:tcPr>
          <w:p>
            <w:r>
              <w:t>Baseline PyTorch IDS</w:t>
            </w:r>
          </w:p>
        </w:tc>
        <w:tc>
          <w:tcPr>
            <w:tcW w:type="dxa" w:w="994"/>
          </w:tcPr>
          <w:p>
            <w:r>
              <w:t>0.980366</w:t>
            </w:r>
          </w:p>
        </w:tc>
        <w:tc>
          <w:tcPr>
            <w:tcW w:type="dxa" w:w="994"/>
          </w:tcPr>
          <w:p>
            <w:r>
              <w:t>0.984268</w:t>
            </w:r>
          </w:p>
        </w:tc>
        <w:tc>
          <w:tcPr>
            <w:tcW w:type="dxa" w:w="994"/>
          </w:tcPr>
          <w:p>
            <w:r>
              <w:t>0.0339167</w:t>
            </w:r>
          </w:p>
        </w:tc>
        <w:tc>
          <w:tcPr>
            <w:tcW w:type="dxa" w:w="994"/>
          </w:tcPr>
          <w:p>
            <w:r>
              <w:t>0.464159</w:t>
            </w:r>
          </w:p>
        </w:tc>
        <w:tc>
          <w:tcPr>
            <w:tcW w:type="dxa" w:w="994"/>
          </w:tcPr>
          <w:p>
            <w:r>
              <w:t>0.481854</w:t>
            </w:r>
          </w:p>
        </w:tc>
        <w:tc>
          <w:tcPr>
            <w:tcW w:type="dxa" w:w="994"/>
          </w:tcPr>
          <w:p>
            <w:r>
              <w:t>0.416655</w:t>
            </w:r>
          </w:p>
        </w:tc>
        <w:tc>
          <w:tcPr>
            <w:tcW w:type="dxa" w:w="994"/>
          </w:tcPr>
          <w:p>
            <w:r>
              <w:t>0.133518</w:t>
            </w:r>
          </w:p>
        </w:tc>
        <w:tc>
          <w:tcPr>
            <w:tcW w:type="dxa" w:w="994"/>
          </w:tcPr>
          <w:p>
            <w:r>
              <w:t>0</w:t>
            </w:r>
          </w:p>
        </w:tc>
        <w:tc>
          <w:tcPr>
            <w:tcW w:type="dxa" w:w="994"/>
          </w:tcPr>
          <w:p>
            <w:r>
              <w:t>Frozen baseline model</w:t>
            </w:r>
          </w:p>
        </w:tc>
      </w:tr>
      <w:tr>
        <w:tc>
          <w:tcPr>
            <w:tcW w:type="dxa" w:w="994"/>
          </w:tcPr>
          <w:p>
            <w:r>
              <w:t>Feature squeezing defense</w:t>
            </w:r>
          </w:p>
        </w:tc>
        <w:tc>
          <w:tcPr>
            <w:tcW w:type="dxa" w:w="994"/>
          </w:tcPr>
          <w:p>
            <w:r>
              <w:t>0.979508</w:t>
            </w:r>
          </w:p>
        </w:tc>
        <w:tc>
          <w:tcPr>
            <w:tcW w:type="dxa" w:w="994"/>
          </w:tcPr>
          <w:p>
            <w:r>
              <w:t>0.98288</w:t>
            </w:r>
          </w:p>
        </w:tc>
        <w:tc>
          <w:tcPr>
            <w:tcW w:type="dxa" w:w="994"/>
          </w:tcPr>
          <w:p>
            <w:r>
              <w:t>0.0328333</w:t>
            </w:r>
          </w:p>
        </w:tc>
        <w:tc>
          <w:tcPr>
            <w:tcW w:type="dxa" w:w="994"/>
          </w:tcPr>
          <w:p>
            <w:r>
              <w:t>0.459233</w:t>
            </w:r>
          </w:p>
        </w:tc>
        <w:tc>
          <w:tcPr>
            <w:tcW w:type="dxa" w:w="994"/>
          </w:tcPr>
          <w:p>
            <w:r>
              <w:t>0.477043</w:t>
            </w:r>
          </w:p>
        </w:tc>
        <w:tc>
          <w:tcPr>
            <w:tcW w:type="dxa" w:w="994"/>
          </w:tcPr>
          <w:p>
            <w:r>
              <w:t>nan</w:t>
            </w:r>
          </w:p>
        </w:tc>
        <w:tc>
          <w:tcPr>
            <w:tcW w:type="dxa" w:w="994"/>
          </w:tcPr>
          <w:p>
            <w:r>
              <w:t>nan</w:t>
            </w:r>
          </w:p>
        </w:tc>
        <w:tc>
          <w:tcPr>
            <w:tcW w:type="dxa" w:w="994"/>
          </w:tcPr>
          <w:p>
            <w:r>
              <w:t>nan</w:t>
            </w:r>
          </w:p>
        </w:tc>
        <w:tc>
          <w:tcPr>
            <w:tcW w:type="dxa" w:w="994"/>
          </w:tcPr>
          <w:p>
            <w:r>
              <w:t>Feature quantization applied before prediction</w:t>
            </w:r>
          </w:p>
        </w:tc>
      </w:tr>
      <w:tr>
        <w:tc>
          <w:tcPr>
            <w:tcW w:type="dxa" w:w="994"/>
          </w:tcPr>
          <w:p>
            <w:r>
              <w:t>Adversarial training defense</w:t>
            </w:r>
          </w:p>
        </w:tc>
        <w:tc>
          <w:tcPr>
            <w:tcW w:type="dxa" w:w="994"/>
          </w:tcPr>
          <w:p>
            <w:r>
              <w:t>0.977523</w:t>
            </w:r>
          </w:p>
        </w:tc>
        <w:tc>
          <w:tcPr>
            <w:tcW w:type="dxa" w:w="994"/>
          </w:tcPr>
          <w:p>
            <w:r>
              <w:t>0.984086</w:t>
            </w:r>
          </w:p>
        </w:tc>
        <w:tc>
          <w:tcPr>
            <w:tcW w:type="dxa" w:w="994"/>
          </w:tcPr>
          <w:p>
            <w:r>
              <w:t>0.0465</w:t>
            </w:r>
          </w:p>
        </w:tc>
        <w:tc>
          <w:tcPr>
            <w:tcW w:type="dxa" w:w="994"/>
          </w:tcPr>
          <w:p>
            <w:r>
              <w:t>0.0188513</w:t>
            </w:r>
          </w:p>
        </w:tc>
        <w:tc>
          <w:tcPr>
            <w:tcW w:type="dxa" w:w="994"/>
          </w:tcPr>
          <w:p>
            <w:r>
              <w:t>0.0188513</w:t>
            </w:r>
          </w:p>
        </w:tc>
        <w:tc>
          <w:tcPr>
            <w:tcW w:type="dxa" w:w="994"/>
          </w:tcPr>
          <w:p>
            <w:r>
              <w:t>nan</w:t>
            </w:r>
          </w:p>
        </w:tc>
        <w:tc>
          <w:tcPr>
            <w:tcW w:type="dxa" w:w="994"/>
          </w:tcPr>
          <w:p>
            <w:r>
              <w:t>nan</w:t>
            </w:r>
          </w:p>
        </w:tc>
        <w:tc>
          <w:tcPr>
            <w:tcW w:type="dxa" w:w="994"/>
          </w:tcPr>
          <w:p>
            <w:r>
              <w:t>nan</w:t>
            </w:r>
          </w:p>
        </w:tc>
        <w:tc>
          <w:tcPr>
            <w:tcW w:type="dxa" w:w="994"/>
          </w:tcPr>
          <w:p>
            <w:r>
              <w:t>Retrained with clean plus constrained PGD adversarial examples</w:t>
            </w:r>
          </w:p>
        </w:tc>
      </w:tr>
    </w:tbl>
    <w:p/>
    <w:p>
      <w:r>
        <w:t>Adversarial training was the strongest defense in this experiment. It reduced constrained FGSM and PGD evasion at epsilon 0.100 while preserving high attack recall.</w:t>
      </w:r>
    </w:p>
    <w:p>
      <w:pPr>
        <w:pStyle w:val="Heading1"/>
      </w:pPr>
      <w:r>
        <w:t>9. Residual Risk</w:t>
      </w:r>
    </w:p>
    <w:p>
      <w:r>
        <w:t>The IDS remains vulnerable under some adversarial conditions. In particular, constrained white-box attacks and transfer attacks still produced nonzero evasion at larger perturbation budgets. A realistic adversary may also discover additional controllable feature pathways beyond the conservative five-feature threat model used here.</w:t>
      </w:r>
    </w:p>
    <w:p>
      <w:r>
        <w:t>The largest residual concern is not the raw unconstrained evasion rate; it is the portion of evasion that survives feasibility constraints and transfers across model families.</w:t>
      </w:r>
    </w:p>
    <w:p>
      <w:pPr>
        <w:pStyle w:val="Heading1"/>
      </w:pPr>
      <w:r>
        <w:t>10. Limitations</w:t>
      </w:r>
    </w:p>
    <w:p>
      <w:r>
        <w:t>This assessment has several limitations:</w:t>
      </w:r>
    </w:p>
    <w:p>
      <w:pPr>
        <w:pStyle w:val="ListBullet"/>
      </w:pPr>
      <w:r>
        <w:t>The feasibility model is conservative and may exclude some features a skilled attacker could influence.</w:t>
      </w:r>
    </w:p>
    <w:p>
      <w:pPr>
        <w:pStyle w:val="ListBullet"/>
      </w:pPr>
      <w:r>
        <w:t>The dataset is static and may not reflect current network behavior.</w:t>
      </w:r>
    </w:p>
    <w:p>
      <w:pPr>
        <w:pStyle w:val="ListBullet"/>
      </w:pPr>
      <w:r>
        <w:t>Flow-level features are abstractions of packet behavior.</w:t>
      </w:r>
    </w:p>
    <w:p>
      <w:pPr>
        <w:pStyle w:val="ListBullet"/>
      </w:pPr>
      <w:r>
        <w:t>PCAP files were not available in the supplied PCAP archive; that archive contained checksum files only.</w:t>
      </w:r>
    </w:p>
    <w:p>
      <w:pPr>
        <w:pStyle w:val="ListBullet"/>
      </w:pPr>
      <w:r>
        <w:t>HopSkipJump was evaluated on a bounded subset because query-based attacks are computationally expensive.</w:t>
      </w:r>
    </w:p>
    <w:p>
      <w:pPr>
        <w:pStyle w:val="ListBullet"/>
      </w:pPr>
      <w:r>
        <w:t>Defenses were evaluated experimentally, not deployed in a real-time IDS pipeline.</w:t>
      </w:r>
    </w:p>
    <w:p>
      <w:pPr>
        <w:pStyle w:val="Heading1"/>
      </w:pPr>
      <w:r>
        <w:t>11. Future Work</w:t>
      </w:r>
    </w:p>
    <w:p>
      <w:r>
        <w:t>Recommended next steps:</w:t>
      </w:r>
    </w:p>
    <w:p>
      <w:pPr>
        <w:pStyle w:val="ListBullet"/>
      </w:pPr>
      <w:r>
        <w:t>Extend the feasibility model with packet-level validation.</w:t>
      </w:r>
    </w:p>
    <w:p>
      <w:pPr>
        <w:pStyle w:val="ListBullet"/>
      </w:pPr>
      <w:r>
        <w:t>Add real PCAP-derived replay or simulation testing.</w:t>
      </w:r>
    </w:p>
    <w:p>
      <w:pPr>
        <w:pStyle w:val="ListBullet"/>
      </w:pPr>
      <w:r>
        <w:t>Evaluate additional black-box attacks such as ZOO.</w:t>
      </w:r>
    </w:p>
    <w:p>
      <w:pPr>
        <w:pStyle w:val="ListBullet"/>
      </w:pPr>
      <w:r>
        <w:t>Test combined defenses: adversarial training plus feature squeezing.</w:t>
      </w:r>
    </w:p>
    <w:p>
      <w:pPr>
        <w:pStyle w:val="ListBullet"/>
      </w:pPr>
      <w:r>
        <w:t>Build a Streamlit demo showing clean, adversarial, and defended predictions.</w:t>
      </w:r>
    </w:p>
    <w:p>
      <w:pPr>
        <w:pStyle w:val="ListBullet"/>
      </w:pPr>
      <w:r>
        <w:t>Expand reporting by attack family, especially for rare classes.</w:t>
      </w:r>
    </w:p>
    <w:p>
      <w:pPr>
        <w:pStyle w:val="Heading1"/>
      </w:pPr>
      <w:r>
        <w:t>12. Conclusion</w:t>
      </w:r>
    </w:p>
    <w:p>
      <w:r>
        <w:t>The project demonstrates that adversarial evasion is a real risk for machine-learning IDS models, but the magnitude of the risk depends heavily on whether perturbations are operationally feasible. Unconstrained white-box attacks produced severe evasion. Constrained attacks were weaker but still meaningful at larger epsilon values. Black-box transfer attacks also produced measurable evasion. Defensive retraining substantially reduced constrained evasion and provides the strongest mitigation observed in this experiment.</w:t>
      </w:r>
    </w:p>
    <w:p>
      <w:r>
        <w:br w:type="page"/>
      </w:r>
    </w:p>
    <w:p>
      <w:pPr>
        <w:pStyle w:val="Heading1"/>
      </w:pPr>
      <w:r>
        <w:t>Appendix: Key Output Files</w:t>
      </w:r>
    </w:p>
    <w:p>
      <w:pPr>
        <w:pStyle w:val="ListBullet"/>
      </w:pPr>
      <w:r>
        <w:t>reports/final_report.md</w:t>
      </w:r>
    </w:p>
    <w:p>
      <w:pPr>
        <w:pStyle w:val="ListBullet"/>
      </w:pPr>
      <w:r>
        <w:t>reports/final_report.docx</w:t>
      </w:r>
    </w:p>
    <w:p>
      <w:pPr>
        <w:pStyle w:val="ListBullet"/>
      </w:pPr>
      <w:r>
        <w:t>reports/final_report.pdf</w:t>
      </w:r>
    </w:p>
    <w:p>
      <w:pPr>
        <w:pStyle w:val="ListBullet"/>
      </w:pPr>
      <w:r>
        <w:t>results/metrics/final_defense_comparison_table.csv</w:t>
      </w:r>
    </w:p>
    <w:p>
      <w:pPr>
        <w:pStyle w:val="ListBullet"/>
      </w:pPr>
      <w:r>
        <w:t>results/metrics/baseline_metrics.json</w:t>
      </w:r>
    </w:p>
    <w:p>
      <w:pPr>
        <w:pStyle w:val="ListBullet"/>
      </w:pPr>
      <w:r>
        <w:t>results/metrics/feature_feasibility_table.csv</w:t>
      </w:r>
    </w:p>
    <w:p>
      <w:pPr>
        <w:pStyle w:val="ListBullet"/>
      </w:pPr>
      <w:r>
        <w:t>results/metrics/phase3_whitebox_full_summary.csv</w:t>
      </w:r>
    </w:p>
    <w:p>
      <w:pPr>
        <w:pStyle w:val="ListBullet"/>
      </w:pPr>
      <w:r>
        <w:t>results/metrics/phase4a_transfer_full_summary.csv</w:t>
      </w:r>
    </w:p>
    <w:p>
      <w:pPr>
        <w:pStyle w:val="ListBullet"/>
      </w:pPr>
      <w:r>
        <w:t>results/metrics/phase4b_hopskipjump_full_summary.csv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