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志愿者管理软件需求文档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1. 引言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本文档描述了一款名为“VolunteerPro”的志愿者管理软件的需求。该软件旨在帮助组织有效地招募、管理和协调志愿者活动。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2. 用户需求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808080" w:val="clear"/>
        </w:rPr>
        <w:t xml:space="preserve">2.1 注册和登录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  <w:t xml:space="preserve">用户可以通过电子邮件进行注册和登录。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  <w:t xml:space="preserve">注册时，用户需提供电子邮件地址和密码，并验证电子邮件地址的有效性。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  <w:t xml:space="preserve">登录时，用户输入正确的电子邮件和密码进行验证。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  <w:t xml:space="preserve">将验证码存储到redis中，并且保存三十分钟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808080" w:val="clear"/>
        </w:rPr>
        <w:t xml:space="preserve">2.2 个人资料管理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  <w:t xml:space="preserve">用户登录后可以访问个人资料页面，编辑和更新个人信息，包括姓名、联系方式、技能和兴趣等。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  <w:t xml:space="preserve">用户可以上传个人照片，用于在活动中展示身份。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2.3 活动浏览和报名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  <w:t xml:space="preserve">用户可以在首页浏览发布的志愿者活动列表，包括活动描述、时间和地点等信息。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  <w:t xml:space="preserve">用户可以根据兴趣和可用时间筛选和搜索活动。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  <w:t xml:space="preserve">用户可以通过点击活动详情页了解更多信息，并选择报名参加活动。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2.4 活动管理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  <w:t xml:space="preserve">组织者可以通过管理端发布新的志愿者活动，包括活动名称、描述、时间、地点和所需志愿者数量等信息。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  <w:t xml:space="preserve">组织者可以编辑和取消已发布的活动，并通知已报名志愿者。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  <w:t xml:space="preserve">组织者可以查看已报名志愿者的列表，并导出报名数据以便进一步管理。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2.5 通知和消息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808080" w:val="clear"/>
        </w:rPr>
        <w:t xml:space="preserve">用户可以收到系统通知，如活动确认、变更或取消等。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用户可以收发个人消息，与其他志愿者或组织者进行沟通。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2.6 统计和报告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系统可以生成志愿者活动的统计报告，包括参与人数、活动类型等。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管理端可以查看活动数据和用户报名情况，并根据需求生成定制报告。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3. 技术要求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3.1 后端技术栈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Spring Boot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: 作为后端框架，提供RESTful API服务。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Spring Security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: 实现用户认证和授权，结合JWT实现无状态的身份验证。</w: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也可以采用sa-token的方式进行认证和授权。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数据库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: 使用MySQL或其他关系型数据库存储用户信息、活动信息等数据。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3.2 前端技术栈 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用户端（UniApp）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: 使用Vue.js作为主要框架，结合UniApp框架进行跨平台开发。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管理端(Vue)：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使用Vite作为主要框架elementPlus作为样式库，来对管理端开发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组织端（UniApp）：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也采用Uniapp作为主要框架来开发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3.3 其他技术要求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JWT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: 使用JWT（JSON Web Token）作为身份验证的机制，将用户信息加密到Token中，以实现无状态的身份验证。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电子邮件验证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: 实现用户注册时的电子邮件验证机制，确保用户提供的电子邮件地址的有效性。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4. 其他需求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用户界面设计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: 设计响应式的用户界面，确保在不同设备上都能够良好展现。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多语言支持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: 支持多语言界面，方便不同地区的用户使用。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性能优化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: 对前后端进行性能优化，提升系统响应速度和用户体验。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5、数据库设计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基础表 x 18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用户信息表：包含用户的角色，以及基础个人信息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活动信息表：包含活动的信息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活动参加状态表：进行多表关联活动&amp;用户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用户聊天：用户关联用户聊天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动态发布信息表：用于个人动态的发布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通知表：用于存储用户的系统、用户通知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图片上传信息表：用于存储用户上传的图片信息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活动类型表：关联活动发布类型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动态评论表：动态关联动态评论表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组织表：志愿者隶属于什么组织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组织关联表：关联用户和组织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活动类型关联表：活动类型关联活动表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建议表：成员向组织，组织向总部管理端提建议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成员审核信息表：成员进入组织需要审核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组织审核信息表：组织需要申请才能被公开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组织信息表：组织的相关信息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志愿者活动参加完的心得信息：心得信息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用户组织信息表：关联用户组织，以及成员在组织的职称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6、角色</w:t>
      </w:r>
    </w:p>
    <w:tbl>
      <w:tblPr/>
      <w:tblGrid>
        <w:gridCol w:w="4148"/>
        <w:gridCol w:w="4148"/>
      </w:tblGrid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志愿者普通成员</w:t>
            </w:r>
          </w:p>
        </w:tc>
      </w:tr>
      <w:tr>
        <w:trPr>
          <w:trHeight w:val="240" w:hRule="auto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管理者，也称为总部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GroupManager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组织管理者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3932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游客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