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9BCFD" w14:textId="39292D85" w:rsidR="0002500C" w:rsidRPr="000F43C4" w:rsidRDefault="00125988" w:rsidP="000F43C4">
      <w:pPr>
        <w:spacing w:line="360" w:lineRule="auto"/>
        <w:jc w:val="center"/>
        <w:rPr>
          <w:rFonts w:ascii="CMR12" w:hAnsi="CMR12"/>
          <w:b/>
          <w:bCs/>
          <w:u w:val="single"/>
          <w:lang w:val="en-US"/>
        </w:rPr>
      </w:pPr>
      <w:r w:rsidRPr="000F43C4">
        <w:rPr>
          <w:rFonts w:ascii="CMR12" w:hAnsi="CMR12"/>
          <w:b/>
          <w:bCs/>
          <w:u w:val="single"/>
          <w:lang w:val="en-US"/>
        </w:rPr>
        <w:t xml:space="preserve">Assessing the self-reference effect in memory in social anxiety using signal detection approach </w:t>
      </w:r>
      <w:r w:rsidR="000F43C4" w:rsidRPr="000F43C4">
        <w:rPr>
          <w:rFonts w:ascii="CMR12" w:hAnsi="CMR12"/>
          <w:b/>
          <w:bCs/>
          <w:u w:val="single"/>
          <w:lang w:val="en-US"/>
        </w:rPr>
        <w:t>(</w:t>
      </w:r>
      <w:r w:rsidRPr="000F43C4">
        <w:rPr>
          <w:rFonts w:ascii="CMR12" w:hAnsi="CMR12"/>
          <w:b/>
          <w:bCs/>
          <w:u w:val="single"/>
          <w:lang w:val="en-US"/>
        </w:rPr>
        <w:t>preregistration</w:t>
      </w:r>
      <w:r w:rsidR="000F43C4" w:rsidRPr="000F43C4">
        <w:rPr>
          <w:rFonts w:ascii="CMR12" w:hAnsi="CMR12"/>
          <w:b/>
          <w:bCs/>
          <w:u w:val="single"/>
          <w:lang w:val="en-US"/>
        </w:rPr>
        <w:t>)</w:t>
      </w:r>
    </w:p>
    <w:p w14:paraId="2AF5DF22" w14:textId="22748DA0" w:rsidR="000F43C4" w:rsidRDefault="000B6492" w:rsidP="000F43C4">
      <w:pPr>
        <w:spacing w:line="360" w:lineRule="auto"/>
        <w:jc w:val="center"/>
        <w:rPr>
          <w:rFonts w:ascii="CMR12" w:hAnsi="CMR12"/>
          <w:i/>
          <w:iCs/>
          <w:lang w:val="en-US"/>
        </w:rPr>
      </w:pPr>
      <w:r>
        <w:rPr>
          <w:rFonts w:ascii="CMR12" w:hAnsi="CMR12"/>
          <w:i/>
          <w:iCs/>
          <w:lang w:val="en-US"/>
        </w:rPr>
        <w:t>Dan E. Hay, Roy Azulay &amp; Prof. Eva Gilboa-Schechtman</w:t>
      </w:r>
    </w:p>
    <w:p w14:paraId="6C69F163" w14:textId="7577417D" w:rsidR="000B6492" w:rsidRPr="000F43C4" w:rsidRDefault="000B6492" w:rsidP="000F43C4">
      <w:pPr>
        <w:spacing w:line="360" w:lineRule="auto"/>
        <w:jc w:val="center"/>
        <w:rPr>
          <w:rFonts w:ascii="CMR12" w:hAnsi="CMR12"/>
          <w:i/>
          <w:iCs/>
          <w:lang w:val="en-US"/>
        </w:rPr>
      </w:pPr>
      <w:r>
        <w:rPr>
          <w:rFonts w:ascii="CMR12" w:hAnsi="CMR12"/>
          <w:i/>
          <w:iCs/>
          <w:lang w:val="en-US"/>
        </w:rPr>
        <w:t>Bar-Ilan University, department of psychology</w:t>
      </w:r>
    </w:p>
    <w:p w14:paraId="76DE42DE" w14:textId="42DA22F8" w:rsidR="007800A5" w:rsidRPr="000F43C4" w:rsidRDefault="007800A5" w:rsidP="00697E00">
      <w:pPr>
        <w:spacing w:line="360" w:lineRule="auto"/>
        <w:rPr>
          <w:u w:val="single"/>
          <w:lang w:val="en-US"/>
        </w:rPr>
      </w:pPr>
    </w:p>
    <w:p w14:paraId="4C056817" w14:textId="58CB63F8" w:rsidR="000F43C4" w:rsidRPr="000F43C4" w:rsidRDefault="000F43C4" w:rsidP="00CF5297">
      <w:pPr>
        <w:spacing w:line="360" w:lineRule="auto"/>
        <w:rPr>
          <w:rFonts w:ascii="CMR12" w:hAnsi="CMR12"/>
          <w:b/>
          <w:bCs/>
          <w:u w:val="single"/>
          <w:lang w:val="en-US"/>
        </w:rPr>
      </w:pPr>
      <w:r w:rsidRPr="000F43C4">
        <w:rPr>
          <w:rFonts w:ascii="CMR12" w:hAnsi="CMR12"/>
          <w:b/>
          <w:bCs/>
          <w:u w:val="single"/>
          <w:lang w:val="en-US"/>
        </w:rPr>
        <w:t xml:space="preserve">Background: </w:t>
      </w:r>
    </w:p>
    <w:p w14:paraId="59835A26" w14:textId="2B71E906" w:rsidR="00764F43" w:rsidRPr="000F43C4" w:rsidRDefault="00FE7D86" w:rsidP="00CF5297">
      <w:pPr>
        <w:spacing w:line="360" w:lineRule="auto"/>
        <w:rPr>
          <w:rFonts w:ascii="CMR12" w:hAnsi="CMR12"/>
          <w:lang w:val="en-US"/>
        </w:rPr>
      </w:pPr>
      <w:r w:rsidRPr="000F43C4">
        <w:rPr>
          <w:rFonts w:ascii="CMR12" w:hAnsi="CMR12"/>
          <w:lang w:val="en-US"/>
        </w:rPr>
        <w:t xml:space="preserve">The self-referent encoding task (SRET) is a common paradigm used to measure self-views and self-referent </w:t>
      </w:r>
      <w:r w:rsidR="0005353E" w:rsidRPr="000F43C4">
        <w:rPr>
          <w:rFonts w:ascii="CMR12" w:hAnsi="CMR12"/>
          <w:lang w:val="en-US"/>
        </w:rPr>
        <w:t>encoding</w:t>
      </w:r>
      <w:r w:rsidR="00764F43" w:rsidRPr="000F43C4">
        <w:rPr>
          <w:rFonts w:ascii="CMR12" w:hAnsi="CMR12"/>
          <w:lang w:val="en-US"/>
        </w:rPr>
        <w:t xml:space="preserve"> (Beevers et al., 2019).</w:t>
      </w:r>
      <w:r w:rsidRPr="000F43C4">
        <w:rPr>
          <w:rFonts w:ascii="CMR12" w:hAnsi="CMR12"/>
          <w:lang w:val="en-US"/>
        </w:rPr>
        <w:t xml:space="preserve"> </w:t>
      </w:r>
      <w:r w:rsidR="006E39EB" w:rsidRPr="000F43C4">
        <w:rPr>
          <w:rFonts w:ascii="CMR12" w:hAnsi="CMR12"/>
          <w:lang w:val="en-US"/>
        </w:rPr>
        <w:t xml:space="preserve">When completing the SRET, participants are asked </w:t>
      </w:r>
      <w:r w:rsidR="00A53774" w:rsidRPr="000F43C4">
        <w:rPr>
          <w:rFonts w:ascii="CMR12" w:hAnsi="CMR12"/>
          <w:lang w:val="en-US"/>
        </w:rPr>
        <w:t>t</w:t>
      </w:r>
      <w:r w:rsidR="0005353E" w:rsidRPr="000F43C4">
        <w:rPr>
          <w:rFonts w:ascii="CMR12" w:hAnsi="CMR12"/>
          <w:lang w:val="en-US"/>
        </w:rPr>
        <w:t xml:space="preserve">o </w:t>
      </w:r>
      <w:r w:rsidR="00A53774" w:rsidRPr="000F43C4">
        <w:rPr>
          <w:rFonts w:ascii="CMR12" w:hAnsi="CMR12"/>
          <w:lang w:val="en-US"/>
        </w:rPr>
        <w:t>make a binary choice about whether</w:t>
      </w:r>
      <w:r w:rsidR="006E39EB" w:rsidRPr="000F43C4">
        <w:rPr>
          <w:rFonts w:ascii="CMR12" w:hAnsi="CMR12"/>
          <w:lang w:val="en-US"/>
        </w:rPr>
        <w:t xml:space="preserve"> adjectives </w:t>
      </w:r>
      <w:r w:rsidR="00A53774" w:rsidRPr="000F43C4">
        <w:rPr>
          <w:rFonts w:ascii="CMR12" w:hAnsi="CMR12"/>
          <w:lang w:val="en-US"/>
        </w:rPr>
        <w:t>presented to them are</w:t>
      </w:r>
      <w:r w:rsidR="006E39EB" w:rsidRPr="000F43C4">
        <w:rPr>
          <w:rFonts w:ascii="CMR12" w:hAnsi="CMR12"/>
          <w:lang w:val="en-US"/>
        </w:rPr>
        <w:t xml:space="preserve"> self-descriptive or not.</w:t>
      </w:r>
      <w:r w:rsidR="00A72FB3" w:rsidRPr="000F43C4">
        <w:rPr>
          <w:rFonts w:ascii="CMR12" w:hAnsi="CMR12"/>
          <w:lang w:val="en-US"/>
        </w:rPr>
        <w:t xml:space="preserve"> The SRET provides data about the self-</w:t>
      </w:r>
      <w:r w:rsidR="00AB52EA" w:rsidRPr="000F43C4">
        <w:rPr>
          <w:rFonts w:ascii="CMR12" w:hAnsi="CMR12"/>
          <w:lang w:val="en-US"/>
        </w:rPr>
        <w:t>endorsed adjectives</w:t>
      </w:r>
      <w:r w:rsidR="00A72FB3" w:rsidRPr="000F43C4">
        <w:rPr>
          <w:rFonts w:ascii="CMR12" w:hAnsi="CMR12"/>
          <w:lang w:val="en-US"/>
        </w:rPr>
        <w:t>, reaction times</w:t>
      </w:r>
      <w:r w:rsidR="005E60BB" w:rsidRPr="000F43C4">
        <w:rPr>
          <w:rFonts w:ascii="CMR12" w:hAnsi="CMR12"/>
          <w:lang w:val="en-US"/>
        </w:rPr>
        <w:t xml:space="preserve"> (RT’s)</w:t>
      </w:r>
      <w:r w:rsidR="00A72FB3" w:rsidRPr="000F43C4">
        <w:rPr>
          <w:rFonts w:ascii="CMR12" w:hAnsi="CMR12"/>
          <w:lang w:val="en-US"/>
        </w:rPr>
        <w:t xml:space="preserve"> and recollection of traits a short period of time after completing the task. </w:t>
      </w:r>
    </w:p>
    <w:p w14:paraId="6B1EAA7C" w14:textId="2259FE67" w:rsidR="00CF5297" w:rsidRPr="000F43C4" w:rsidRDefault="00AB52EA" w:rsidP="000F43C4">
      <w:pPr>
        <w:spacing w:line="360" w:lineRule="auto"/>
        <w:ind w:firstLine="720"/>
        <w:rPr>
          <w:rFonts w:ascii="CMR12" w:hAnsi="CMR12"/>
          <w:lang w:val="en-US"/>
        </w:rPr>
      </w:pPr>
      <w:r w:rsidRPr="000F43C4">
        <w:rPr>
          <w:rFonts w:ascii="CMR12" w:hAnsi="CMR12"/>
          <w:lang w:val="en-US"/>
        </w:rPr>
        <w:t xml:space="preserve">Although the SRET is commonly used to measure self-referent cognition in depression, many different metrics can be </w:t>
      </w:r>
      <w:r w:rsidR="00764F43" w:rsidRPr="000F43C4">
        <w:rPr>
          <w:rFonts w:ascii="CMR12" w:hAnsi="CMR12"/>
          <w:lang w:val="en-US"/>
        </w:rPr>
        <w:t>obtained. In</w:t>
      </w:r>
      <w:r w:rsidRPr="000F43C4">
        <w:rPr>
          <w:rFonts w:ascii="CMR12" w:hAnsi="CMR12"/>
          <w:lang w:val="en-US"/>
        </w:rPr>
        <w:t xml:space="preserve"> a previous study which investigated the strongest predictor of the SRET outcomes to predict depression severity (Dainer-Best, Yeon-Lee, Shumake, Yeager &amp; Beevers, 2018), SRET metrics associated most strongly with depression severity included number of words endorsed as self-descriptive and rate of accumulation of information required to decide whether adjectives were self-descriptive (i.e., drift rate, v).</w:t>
      </w:r>
      <w:r w:rsidR="002953F1" w:rsidRPr="000F43C4">
        <w:rPr>
          <w:rFonts w:ascii="CMR12" w:hAnsi="CMR12"/>
          <w:lang w:val="en-US"/>
        </w:rPr>
        <w:t xml:space="preserve"> </w:t>
      </w:r>
    </w:p>
    <w:p w14:paraId="7CFCA25D" w14:textId="77777777" w:rsidR="00CF5297" w:rsidRPr="000F43C4" w:rsidRDefault="00A112F9" w:rsidP="000F43C4">
      <w:pPr>
        <w:spacing w:line="360" w:lineRule="auto"/>
        <w:ind w:firstLine="720"/>
        <w:rPr>
          <w:rFonts w:ascii="CMR12" w:hAnsi="CMR12"/>
          <w:lang w:val="en-US"/>
        </w:rPr>
      </w:pPr>
      <w:r w:rsidRPr="000F43C4">
        <w:rPr>
          <w:rFonts w:ascii="CMR12" w:hAnsi="CMR12"/>
          <w:lang w:val="en-US"/>
        </w:rPr>
        <w:t>Endorsement and RT data can be combined to produce drift rates for each category of adjectives (based on EZ diffusion model; Wagenmakers, 2007). A very positive drift rate indicates that is easy to categorize such words as self-referential; a drift rate close to zero indicate that is difficult to categorize such words and a strongly negative drift rate reflects that evidence accumulation often leads to rejection a stimulus as self-referential.</w:t>
      </w:r>
    </w:p>
    <w:p w14:paraId="51B27941" w14:textId="77777777" w:rsidR="00CF5297" w:rsidRPr="000F43C4" w:rsidRDefault="00A57BD6" w:rsidP="000F43C4">
      <w:pPr>
        <w:spacing w:line="360" w:lineRule="auto"/>
        <w:ind w:firstLine="720"/>
        <w:rPr>
          <w:rFonts w:ascii="CMR12" w:hAnsi="CMR12"/>
          <w:lang w:val="en-US"/>
        </w:rPr>
      </w:pPr>
      <w:r w:rsidRPr="000F43C4">
        <w:rPr>
          <w:rFonts w:ascii="CMR12" w:hAnsi="CMR12"/>
          <w:lang w:val="en-US"/>
        </w:rPr>
        <w:t>In the present study we seek to investigate the association between interpersonal self-views and social anxiety</w:t>
      </w:r>
      <w:r w:rsidR="002953F1" w:rsidRPr="000F43C4">
        <w:rPr>
          <w:rFonts w:ascii="CMR12" w:hAnsi="CMR12"/>
          <w:lang w:val="en-US"/>
        </w:rPr>
        <w:t xml:space="preserve"> (SA)</w:t>
      </w:r>
      <w:r w:rsidRPr="000F43C4">
        <w:rPr>
          <w:rFonts w:ascii="CMR12" w:hAnsi="CMR12"/>
          <w:lang w:val="en-US"/>
        </w:rPr>
        <w:t xml:space="preserve"> using the SRET, above and beyond depression symptoms severity. Additional goal of this study is to investigate self-reference effect in memory in social anxiety using </w:t>
      </w:r>
      <w:r w:rsidR="00DF4728" w:rsidRPr="000F43C4">
        <w:rPr>
          <w:rFonts w:ascii="CMR12" w:hAnsi="CMR12"/>
          <w:lang w:val="en-US"/>
        </w:rPr>
        <w:t>signal detection theory (</w:t>
      </w:r>
      <w:r w:rsidRPr="000F43C4">
        <w:rPr>
          <w:rFonts w:ascii="CMR12" w:hAnsi="CMR12"/>
          <w:lang w:val="en-US"/>
        </w:rPr>
        <w:t>SDT</w:t>
      </w:r>
      <w:r w:rsidR="00DF4728" w:rsidRPr="000F43C4">
        <w:rPr>
          <w:rFonts w:ascii="CMR12" w:hAnsi="CMR12"/>
          <w:lang w:val="en-US"/>
        </w:rPr>
        <w:t>)</w:t>
      </w:r>
      <w:r w:rsidRPr="000F43C4">
        <w:rPr>
          <w:rFonts w:ascii="CMR12" w:hAnsi="CMR12"/>
          <w:lang w:val="en-US"/>
        </w:rPr>
        <w:t xml:space="preserve"> approach. </w:t>
      </w:r>
    </w:p>
    <w:p w14:paraId="35BCD4FD" w14:textId="4C15A309" w:rsidR="00CF5297" w:rsidRPr="000F43C4" w:rsidRDefault="008B6074" w:rsidP="000F43C4">
      <w:pPr>
        <w:spacing w:line="360" w:lineRule="auto"/>
        <w:ind w:firstLine="720"/>
        <w:rPr>
          <w:rFonts w:ascii="CMR12" w:hAnsi="CMR12"/>
          <w:lang w:val="en-US"/>
        </w:rPr>
      </w:pPr>
      <w:r w:rsidRPr="000F43C4">
        <w:rPr>
          <w:rFonts w:ascii="CMR12" w:hAnsi="CMR12"/>
          <w:lang w:val="en-US"/>
        </w:rPr>
        <w:t>The goal of the SDT is to estimate two main parameters from the experimental data: (a) d’, which indicate the strength of the signal (relative to the noise)</w:t>
      </w:r>
      <w:r w:rsidR="00764F43" w:rsidRPr="000F43C4">
        <w:rPr>
          <w:rFonts w:ascii="CMR12" w:hAnsi="CMR12"/>
          <w:lang w:val="en-US"/>
        </w:rPr>
        <w:t xml:space="preserve"> and can be also described as the ability of the cognitive system to differentiate between external </w:t>
      </w:r>
      <w:r w:rsidR="00764F43" w:rsidRPr="000F43C4">
        <w:rPr>
          <w:rFonts w:ascii="CMR12" w:hAnsi="CMR12"/>
          <w:lang w:val="en-US"/>
        </w:rPr>
        <w:lastRenderedPageBreak/>
        <w:t>triggers of varying intensity</w:t>
      </w:r>
      <w:r w:rsidRPr="000F43C4">
        <w:rPr>
          <w:rFonts w:ascii="CMR12" w:hAnsi="CMR12"/>
          <w:lang w:val="en-US"/>
        </w:rPr>
        <w:t>, and (b) β, which reflects the strategy of response of the participant of being more willing to</w:t>
      </w:r>
      <w:r w:rsidR="00764F43" w:rsidRPr="000F43C4">
        <w:rPr>
          <w:rFonts w:ascii="CMR12" w:hAnsi="CMR12"/>
          <w:lang w:val="en-US"/>
        </w:rPr>
        <w:t xml:space="preserve"> make a decision (Abdi, 2007).</w:t>
      </w:r>
      <w:r w:rsidRPr="000F43C4">
        <w:rPr>
          <w:rFonts w:ascii="CMR12" w:hAnsi="CMR12"/>
          <w:lang w:val="en-US"/>
        </w:rPr>
        <w:t xml:space="preserve"> In this experiment, we use the SDT approach with one major difference, our “signal” will be actually computed from </w:t>
      </w:r>
      <w:r w:rsidR="00764F43" w:rsidRPr="000F43C4">
        <w:rPr>
          <w:rFonts w:ascii="CMR12" w:hAnsi="CMR12"/>
          <w:lang w:val="en-US"/>
        </w:rPr>
        <w:t xml:space="preserve">the </w:t>
      </w:r>
      <w:r w:rsidRPr="000F43C4">
        <w:rPr>
          <w:rFonts w:ascii="CMR12" w:hAnsi="CMR12"/>
          <w:lang w:val="en-US"/>
        </w:rPr>
        <w:t xml:space="preserve">number </w:t>
      </w:r>
      <w:r w:rsidR="00764F43" w:rsidRPr="000F43C4">
        <w:rPr>
          <w:rFonts w:ascii="CMR12" w:hAnsi="CMR12"/>
          <w:lang w:val="en-US"/>
        </w:rPr>
        <w:t xml:space="preserve">of </w:t>
      </w:r>
      <w:r w:rsidRPr="000F43C4">
        <w:rPr>
          <w:rFonts w:ascii="CMR12" w:hAnsi="CMR12"/>
          <w:lang w:val="en-US"/>
        </w:rPr>
        <w:t>recalled words which was also endorsed in the first phase of the task</w:t>
      </w:r>
      <w:r w:rsidR="00CF5297" w:rsidRPr="000F43C4">
        <w:rPr>
          <w:rFonts w:ascii="CMR12" w:hAnsi="CMR12"/>
          <w:lang w:val="en-US"/>
        </w:rPr>
        <w:t xml:space="preserve"> (See table A).</w:t>
      </w:r>
    </w:p>
    <w:tbl>
      <w:tblPr>
        <w:tblStyle w:val="TableGrid"/>
        <w:tblpPr w:leftFromText="180" w:rightFromText="180" w:vertAnchor="text" w:horzAnchor="margin" w:tblpXSpec="center" w:tblpY="534"/>
        <w:tblW w:w="0" w:type="auto"/>
        <w:tblLook w:val="04A0" w:firstRow="1" w:lastRow="0" w:firstColumn="1" w:lastColumn="0" w:noHBand="0" w:noVBand="1"/>
      </w:tblPr>
      <w:tblGrid>
        <w:gridCol w:w="1963"/>
        <w:gridCol w:w="1306"/>
        <w:gridCol w:w="2401"/>
      </w:tblGrid>
      <w:tr w:rsidR="00764F43" w14:paraId="311B3CFD" w14:textId="77777777" w:rsidTr="00857B31">
        <w:tc>
          <w:tcPr>
            <w:tcW w:w="56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03B2F" w14:textId="77777777" w:rsidR="00764F43" w:rsidRPr="000F43C4" w:rsidRDefault="00764F43" w:rsidP="000F43C4">
            <w:pPr>
              <w:spacing w:line="360" w:lineRule="auto"/>
              <w:ind w:firstLine="720"/>
              <w:rPr>
                <w:rFonts w:ascii="CMR12" w:hAnsi="CMR12"/>
                <w:lang w:val="en-US"/>
              </w:rPr>
            </w:pPr>
            <w:r w:rsidRPr="000F43C4">
              <w:rPr>
                <w:rFonts w:ascii="CMR12" w:hAnsi="CMR12"/>
                <w:lang w:val="en-US"/>
              </w:rPr>
              <w:t>Table A: Clarification to the SDT approach</w:t>
            </w:r>
          </w:p>
        </w:tc>
      </w:tr>
      <w:tr w:rsidR="00764F43" w14:paraId="55EAD133" w14:textId="77777777" w:rsidTr="00857B31">
        <w:tc>
          <w:tcPr>
            <w:tcW w:w="19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FF7140" w14:textId="77777777" w:rsidR="00764F43" w:rsidRDefault="00764F43" w:rsidP="00857B3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37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A89F0E" w14:textId="77777777" w:rsidR="00764F43" w:rsidRPr="00CF5297" w:rsidRDefault="00764F43" w:rsidP="00857B3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Participants recollection (</w:t>
            </w:r>
            <w:r w:rsidRPr="00CF5297">
              <w:rPr>
                <w:color w:val="000000" w:themeColor="text1"/>
                <w:sz w:val="20"/>
                <w:szCs w:val="20"/>
                <w:lang w:val="en-US"/>
              </w:rPr>
              <w:t>“Decision”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  <w:tr w:rsidR="00764F43" w14:paraId="6D97D784" w14:textId="77777777" w:rsidTr="00857B31"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6867C5" w14:textId="77777777" w:rsidR="00764F43" w:rsidRDefault="00764F43" w:rsidP="00857B31">
            <w:pPr>
              <w:spacing w:line="360" w:lineRule="auto"/>
              <w:rPr>
                <w:color w:val="000000" w:themeColor="text1"/>
                <w:lang w:val="en-US"/>
              </w:rPr>
            </w:pPr>
          </w:p>
          <w:p w14:paraId="3C61CD07" w14:textId="77777777" w:rsidR="00764F43" w:rsidRPr="00CF5297" w:rsidRDefault="00764F43" w:rsidP="00857B31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CF5297">
              <w:rPr>
                <w:color w:val="000000" w:themeColor="text1"/>
                <w:sz w:val="20"/>
                <w:szCs w:val="20"/>
                <w:lang w:val="en-US"/>
              </w:rPr>
              <w:t>“Reality”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364EE" w14:textId="77777777" w:rsidR="00764F43" w:rsidRDefault="00764F43" w:rsidP="00857B3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Recalled </w:t>
            </w:r>
            <w:r w:rsidRPr="00CF5297">
              <w:rPr>
                <w:color w:val="000000" w:themeColor="text1"/>
                <w:sz w:val="20"/>
                <w:szCs w:val="20"/>
                <w:lang w:val="en-US"/>
              </w:rPr>
              <w:t>(“Yes”)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43BAB5" w14:textId="77777777" w:rsidR="00764F43" w:rsidRDefault="00764F43" w:rsidP="00857B3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Recalled</w:t>
            </w:r>
          </w:p>
          <w:p w14:paraId="115E66BB" w14:textId="77777777" w:rsidR="00764F43" w:rsidRPr="00CF5297" w:rsidRDefault="00764F43" w:rsidP="00857B31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CF5297">
              <w:rPr>
                <w:color w:val="000000" w:themeColor="text1"/>
                <w:sz w:val="20"/>
                <w:szCs w:val="20"/>
                <w:lang w:val="en-US"/>
              </w:rPr>
              <w:t>(“No”)</w:t>
            </w:r>
          </w:p>
        </w:tc>
      </w:tr>
      <w:tr w:rsidR="00764F43" w14:paraId="3B239831" w14:textId="77777777" w:rsidTr="00857B31">
        <w:tc>
          <w:tcPr>
            <w:tcW w:w="19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33DD02" w14:textId="77777777" w:rsidR="00764F43" w:rsidRDefault="00764F43" w:rsidP="00857B31">
            <w:pPr>
              <w:spacing w:line="36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Endorsed</w:t>
            </w:r>
          </w:p>
          <w:p w14:paraId="61B291E2" w14:textId="77777777" w:rsidR="00764F43" w:rsidRPr="00CF5297" w:rsidRDefault="00764F43" w:rsidP="00857B31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CF5297">
              <w:rPr>
                <w:color w:val="000000" w:themeColor="text1"/>
                <w:sz w:val="20"/>
                <w:szCs w:val="20"/>
                <w:lang w:val="en-US"/>
              </w:rPr>
              <w:t>(“Signal present”)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36432" w14:textId="77777777" w:rsidR="00764F43" w:rsidRPr="00CF5297" w:rsidRDefault="00764F43" w:rsidP="00857B31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CF5297">
              <w:rPr>
                <w:color w:val="000000" w:themeColor="text1"/>
                <w:sz w:val="20"/>
                <w:szCs w:val="20"/>
                <w:lang w:val="en-US"/>
              </w:rPr>
              <w:t>Hit</w:t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778485" w14:textId="77777777" w:rsidR="00764F43" w:rsidRPr="00CF5297" w:rsidRDefault="00764F43" w:rsidP="00857B31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CF5297">
              <w:rPr>
                <w:color w:val="000000" w:themeColor="text1"/>
                <w:sz w:val="20"/>
                <w:szCs w:val="20"/>
                <w:lang w:val="en-US"/>
              </w:rPr>
              <w:t>Miss</w:t>
            </w:r>
          </w:p>
        </w:tc>
      </w:tr>
      <w:tr w:rsidR="00764F43" w14:paraId="271112F2" w14:textId="77777777" w:rsidTr="00857B31">
        <w:trPr>
          <w:trHeight w:val="300"/>
        </w:trPr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25A47" w14:textId="77777777" w:rsidR="00764F43" w:rsidRDefault="00764F43" w:rsidP="00857B31">
            <w:pPr>
              <w:spacing w:line="36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endorsed</w:t>
            </w:r>
          </w:p>
          <w:p w14:paraId="0C9E44C4" w14:textId="77777777" w:rsidR="00764F43" w:rsidRPr="00CF5297" w:rsidRDefault="00764F43" w:rsidP="00857B31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CF5297">
              <w:rPr>
                <w:color w:val="000000" w:themeColor="text1"/>
                <w:sz w:val="20"/>
                <w:szCs w:val="20"/>
                <w:lang w:val="en-US"/>
              </w:rPr>
              <w:t>(“Signal absent”)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C0C70E" w14:textId="77777777" w:rsidR="00764F43" w:rsidRPr="00CF5297" w:rsidRDefault="00764F43" w:rsidP="00857B31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CF5297">
              <w:rPr>
                <w:color w:val="000000" w:themeColor="text1"/>
                <w:sz w:val="20"/>
                <w:szCs w:val="20"/>
                <w:lang w:val="en-US"/>
              </w:rPr>
              <w:t>False Alarm</w:t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A1323D" w14:textId="77777777" w:rsidR="00764F43" w:rsidRPr="00CF5297" w:rsidRDefault="00764F43" w:rsidP="00857B31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CF5297">
              <w:rPr>
                <w:color w:val="000000" w:themeColor="text1"/>
                <w:sz w:val="20"/>
                <w:szCs w:val="20"/>
                <w:lang w:val="en-US"/>
              </w:rPr>
              <w:t>Correct rejection</w:t>
            </w:r>
          </w:p>
        </w:tc>
      </w:tr>
    </w:tbl>
    <w:p w14:paraId="0D8DE890" w14:textId="71DA2C71" w:rsidR="00764F43" w:rsidRDefault="00764F43" w:rsidP="00CF5297">
      <w:pPr>
        <w:spacing w:line="360" w:lineRule="auto"/>
        <w:ind w:firstLine="720"/>
        <w:rPr>
          <w:lang w:val="en-US"/>
        </w:rPr>
      </w:pPr>
    </w:p>
    <w:p w14:paraId="59E7DAEB" w14:textId="2EC64A8E" w:rsidR="00764F43" w:rsidRDefault="00764F43" w:rsidP="00CF5297">
      <w:pPr>
        <w:spacing w:line="360" w:lineRule="auto"/>
        <w:ind w:firstLine="720"/>
        <w:rPr>
          <w:lang w:val="en-US"/>
        </w:rPr>
      </w:pPr>
    </w:p>
    <w:p w14:paraId="0826F39E" w14:textId="595CB98E" w:rsidR="00764F43" w:rsidRDefault="00764F43" w:rsidP="00CF5297">
      <w:pPr>
        <w:spacing w:line="360" w:lineRule="auto"/>
        <w:ind w:firstLine="720"/>
        <w:rPr>
          <w:lang w:val="en-US"/>
        </w:rPr>
      </w:pPr>
    </w:p>
    <w:p w14:paraId="55476F86" w14:textId="308E59F2" w:rsidR="00764F43" w:rsidRDefault="00764F43" w:rsidP="00CF5297">
      <w:pPr>
        <w:spacing w:line="360" w:lineRule="auto"/>
        <w:ind w:firstLine="720"/>
        <w:rPr>
          <w:lang w:val="en-US"/>
        </w:rPr>
      </w:pPr>
    </w:p>
    <w:p w14:paraId="601D72D4" w14:textId="64CB07A7" w:rsidR="00764F43" w:rsidRDefault="00764F43" w:rsidP="00CF5297">
      <w:pPr>
        <w:spacing w:line="360" w:lineRule="auto"/>
        <w:ind w:firstLine="720"/>
        <w:rPr>
          <w:lang w:val="en-US"/>
        </w:rPr>
      </w:pPr>
    </w:p>
    <w:p w14:paraId="5BF18D4C" w14:textId="5CC69192" w:rsidR="00764F43" w:rsidRDefault="00764F43" w:rsidP="00CF5297">
      <w:pPr>
        <w:spacing w:line="360" w:lineRule="auto"/>
        <w:ind w:firstLine="720"/>
        <w:rPr>
          <w:lang w:val="en-US"/>
        </w:rPr>
      </w:pPr>
    </w:p>
    <w:p w14:paraId="48CB7CA2" w14:textId="41793096" w:rsidR="00764F43" w:rsidRDefault="00764F43" w:rsidP="00CF5297">
      <w:pPr>
        <w:spacing w:line="360" w:lineRule="auto"/>
        <w:ind w:firstLine="720"/>
        <w:rPr>
          <w:lang w:val="en-US"/>
        </w:rPr>
      </w:pPr>
    </w:p>
    <w:p w14:paraId="6149CD3F" w14:textId="6753D329" w:rsidR="00764F43" w:rsidRDefault="00764F43" w:rsidP="00CF5297">
      <w:pPr>
        <w:spacing w:line="360" w:lineRule="auto"/>
        <w:ind w:firstLine="720"/>
        <w:rPr>
          <w:lang w:val="en-US"/>
        </w:rPr>
      </w:pPr>
    </w:p>
    <w:p w14:paraId="15D8AD9B" w14:textId="77777777" w:rsidR="00764F43" w:rsidRDefault="00764F43" w:rsidP="00CF5297">
      <w:pPr>
        <w:spacing w:line="360" w:lineRule="auto"/>
        <w:ind w:firstLine="720"/>
        <w:rPr>
          <w:lang w:val="en-US"/>
        </w:rPr>
      </w:pPr>
    </w:p>
    <w:p w14:paraId="10CA484E" w14:textId="77777777" w:rsidR="00764F43" w:rsidRDefault="00764F43" w:rsidP="00CF5297">
      <w:pPr>
        <w:spacing w:line="360" w:lineRule="auto"/>
        <w:ind w:firstLine="720"/>
        <w:rPr>
          <w:lang w:val="en-US"/>
        </w:rPr>
      </w:pPr>
    </w:p>
    <w:p w14:paraId="1EC3BAF9" w14:textId="35AC02E2" w:rsidR="007C016A" w:rsidRPr="000F43C4" w:rsidRDefault="002953F1" w:rsidP="000F43C4">
      <w:pPr>
        <w:spacing w:line="360" w:lineRule="auto"/>
        <w:jc w:val="both"/>
        <w:rPr>
          <w:rFonts w:ascii="CMR12" w:hAnsi="CMR12"/>
          <w:b/>
          <w:bCs/>
          <w:lang w:val="en-US"/>
        </w:rPr>
      </w:pPr>
      <w:r w:rsidRPr="000F43C4">
        <w:rPr>
          <w:rFonts w:ascii="CMR12" w:hAnsi="CMR12"/>
          <w:b/>
          <w:bCs/>
          <w:lang w:val="en-US"/>
        </w:rPr>
        <w:t>Hypotheses</w:t>
      </w:r>
      <w:r w:rsidR="000F43C4" w:rsidRPr="000F43C4">
        <w:rPr>
          <w:rFonts w:ascii="CMR12" w:hAnsi="CMR12"/>
          <w:b/>
          <w:bCs/>
          <w:lang w:val="en-US"/>
        </w:rPr>
        <w:t>:</w:t>
      </w:r>
      <w:r w:rsidRPr="000F43C4">
        <w:rPr>
          <w:rFonts w:ascii="CMR12" w:hAnsi="CMR12"/>
          <w:b/>
          <w:bCs/>
          <w:lang w:val="en-US"/>
        </w:rPr>
        <w:t xml:space="preserve"> </w:t>
      </w:r>
    </w:p>
    <w:p w14:paraId="1845296A" w14:textId="1F767719" w:rsidR="007C016A" w:rsidRPr="000F43C4" w:rsidRDefault="002953F1" w:rsidP="000F43C4">
      <w:pPr>
        <w:spacing w:line="360" w:lineRule="auto"/>
        <w:jc w:val="both"/>
        <w:rPr>
          <w:rFonts w:ascii="CMR12" w:hAnsi="CMR12"/>
          <w:i/>
          <w:iCs/>
          <w:lang w:val="en-US"/>
        </w:rPr>
      </w:pPr>
      <w:r w:rsidRPr="000F43C4">
        <w:rPr>
          <w:rFonts w:ascii="CMR12" w:hAnsi="CMR12"/>
          <w:i/>
          <w:iCs/>
          <w:lang w:val="en-US"/>
        </w:rPr>
        <w:t>Our hypotheses based on a pilot</w:t>
      </w:r>
      <w:r w:rsidR="007C016A" w:rsidRPr="000F43C4">
        <w:rPr>
          <w:rFonts w:ascii="CMR12" w:hAnsi="CMR12"/>
          <w:i/>
          <w:iCs/>
          <w:lang w:val="en-US"/>
        </w:rPr>
        <w:t xml:space="preserve"> study </w:t>
      </w:r>
      <w:r w:rsidRPr="000F43C4">
        <w:rPr>
          <w:rFonts w:ascii="CMR12" w:hAnsi="CMR12"/>
          <w:i/>
          <w:iCs/>
          <w:lang w:val="en-US"/>
        </w:rPr>
        <w:t>(detailed below)</w:t>
      </w:r>
      <w:r w:rsidR="007C016A" w:rsidRPr="000F43C4">
        <w:rPr>
          <w:rFonts w:ascii="CMR12" w:hAnsi="CMR12"/>
          <w:i/>
          <w:iCs/>
          <w:lang w:val="en-US"/>
        </w:rPr>
        <w:t>. All of our hypotheses regard social anxiety above and beyond depression symptoms severity.</w:t>
      </w:r>
    </w:p>
    <w:p w14:paraId="4DE1B4EE" w14:textId="77777777" w:rsidR="0062181A" w:rsidRDefault="0062181A" w:rsidP="007C016A">
      <w:pPr>
        <w:spacing w:line="360" w:lineRule="auto"/>
        <w:rPr>
          <w:color w:val="000000" w:themeColor="text1"/>
          <w:lang w:val="en-US"/>
        </w:rPr>
      </w:pPr>
    </w:p>
    <w:p w14:paraId="32C19FF3" w14:textId="13EB8889" w:rsidR="007C016A" w:rsidRPr="000F43C4" w:rsidRDefault="007C016A" w:rsidP="000F43C4">
      <w:pPr>
        <w:spacing w:line="360" w:lineRule="auto"/>
        <w:jc w:val="both"/>
        <w:rPr>
          <w:rFonts w:ascii="CMR12" w:hAnsi="CMR12"/>
          <w:lang w:val="en-US"/>
        </w:rPr>
      </w:pPr>
      <w:r w:rsidRPr="000F43C4">
        <w:rPr>
          <w:rFonts w:ascii="CMR12" w:hAnsi="CMR12"/>
          <w:b/>
          <w:bCs/>
          <w:lang w:val="en-US"/>
        </w:rPr>
        <w:t>H1</w:t>
      </w:r>
      <w:r w:rsidRPr="000F43C4">
        <w:rPr>
          <w:rFonts w:ascii="CMR12" w:hAnsi="CMR12"/>
          <w:lang w:val="en-US"/>
        </w:rPr>
        <w:t xml:space="preserve">: SA and interpersonal self-views of affiliation and domination.  </w:t>
      </w:r>
    </w:p>
    <w:p w14:paraId="03B57DE2" w14:textId="3815ACDD" w:rsidR="002953F1" w:rsidRPr="000F43C4" w:rsidRDefault="002953F1" w:rsidP="000F43C4">
      <w:pPr>
        <w:spacing w:line="360" w:lineRule="auto"/>
        <w:ind w:left="720"/>
        <w:jc w:val="both"/>
        <w:rPr>
          <w:rFonts w:ascii="CMR12" w:hAnsi="CMR12"/>
          <w:lang w:val="en-US"/>
        </w:rPr>
      </w:pPr>
      <w:r w:rsidRPr="000F43C4">
        <w:rPr>
          <w:rFonts w:ascii="CMR12" w:hAnsi="CMR12"/>
          <w:lang w:val="en-US"/>
        </w:rPr>
        <w:t>(</w:t>
      </w:r>
      <w:r w:rsidRPr="000F43C4">
        <w:rPr>
          <w:rFonts w:ascii="CMR12" w:hAnsi="CMR12"/>
          <w:i/>
          <w:iCs/>
          <w:lang w:val="en-US"/>
        </w:rPr>
        <w:t>H1.a</w:t>
      </w:r>
      <w:r w:rsidRPr="000F43C4">
        <w:rPr>
          <w:rFonts w:ascii="CMR12" w:hAnsi="CMR12"/>
          <w:lang w:val="en-US"/>
        </w:rPr>
        <w:t xml:space="preserve">) SA severity will be negatively associated with high dominant self-endorsed words </w:t>
      </w:r>
      <w:r w:rsidRPr="000B6492">
        <w:rPr>
          <w:rFonts w:ascii="CMR12" w:hAnsi="CMR12"/>
          <w:color w:val="000000" w:themeColor="text1"/>
          <w:lang w:val="en-US"/>
        </w:rPr>
        <w:t xml:space="preserve">and </w:t>
      </w:r>
      <w:r w:rsidRPr="000F43C4">
        <w:rPr>
          <w:rFonts w:ascii="CMR12" w:hAnsi="CMR12"/>
          <w:lang w:val="en-US"/>
        </w:rPr>
        <w:t>drift-rate</w:t>
      </w:r>
      <w:r w:rsidR="00857B31" w:rsidRPr="000F43C4">
        <w:rPr>
          <w:rFonts w:ascii="CMR12" w:hAnsi="CMR12"/>
          <w:lang w:val="en-US"/>
        </w:rPr>
        <w:t>.</w:t>
      </w:r>
    </w:p>
    <w:p w14:paraId="21948582" w14:textId="32955A20" w:rsidR="007C016A" w:rsidRPr="000F43C4" w:rsidRDefault="002953F1" w:rsidP="000F43C4">
      <w:pPr>
        <w:spacing w:line="360" w:lineRule="auto"/>
        <w:ind w:left="720"/>
        <w:jc w:val="both"/>
        <w:rPr>
          <w:rFonts w:ascii="CMR12" w:hAnsi="CMR12"/>
          <w:lang w:val="en-US"/>
        </w:rPr>
      </w:pPr>
      <w:r w:rsidRPr="000F43C4">
        <w:rPr>
          <w:rFonts w:ascii="CMR12" w:hAnsi="CMR12"/>
          <w:lang w:val="en-US"/>
        </w:rPr>
        <w:t>(</w:t>
      </w:r>
      <w:r w:rsidRPr="000F43C4">
        <w:rPr>
          <w:rFonts w:ascii="CMR12" w:hAnsi="CMR12"/>
          <w:i/>
          <w:iCs/>
          <w:lang w:val="en-US"/>
        </w:rPr>
        <w:t>H1.b</w:t>
      </w:r>
      <w:r w:rsidRPr="000F43C4">
        <w:rPr>
          <w:rFonts w:ascii="CMR12" w:hAnsi="CMR12"/>
          <w:lang w:val="en-US"/>
        </w:rPr>
        <w:t xml:space="preserve">) SA severity will be positively associated with low affiliative self-endorsed words </w:t>
      </w:r>
      <w:r w:rsidRPr="000B6492">
        <w:rPr>
          <w:rFonts w:ascii="CMR12" w:hAnsi="CMR12"/>
          <w:color w:val="000000" w:themeColor="text1"/>
          <w:lang w:val="en-US"/>
        </w:rPr>
        <w:t xml:space="preserve">and </w:t>
      </w:r>
      <w:r w:rsidRPr="000F43C4">
        <w:rPr>
          <w:rFonts w:ascii="CMR12" w:hAnsi="CMR12"/>
          <w:lang w:val="en-US"/>
        </w:rPr>
        <w:t>drift-rate</w:t>
      </w:r>
      <w:r w:rsidR="00857B31" w:rsidRPr="000F43C4">
        <w:rPr>
          <w:rFonts w:ascii="CMR12" w:hAnsi="CMR12"/>
          <w:lang w:val="en-US"/>
        </w:rPr>
        <w:t>.</w:t>
      </w:r>
    </w:p>
    <w:p w14:paraId="5ED06BB0" w14:textId="77777777" w:rsidR="007C016A" w:rsidRPr="007C016A" w:rsidRDefault="007C016A" w:rsidP="007C016A">
      <w:pPr>
        <w:spacing w:line="360" w:lineRule="auto"/>
        <w:ind w:left="720"/>
      </w:pPr>
    </w:p>
    <w:p w14:paraId="4E89498C" w14:textId="2A41B47D" w:rsidR="007C016A" w:rsidRPr="000F43C4" w:rsidRDefault="007C016A" w:rsidP="000F43C4">
      <w:pPr>
        <w:spacing w:line="360" w:lineRule="auto"/>
        <w:jc w:val="both"/>
        <w:rPr>
          <w:rFonts w:ascii="CMR12" w:hAnsi="CMR12"/>
          <w:lang w:val="en-US"/>
        </w:rPr>
      </w:pPr>
      <w:r w:rsidRPr="000F43C4">
        <w:rPr>
          <w:rFonts w:ascii="CMR12" w:hAnsi="CMR12"/>
          <w:b/>
          <w:bCs/>
          <w:lang w:val="en-US"/>
        </w:rPr>
        <w:t>H2</w:t>
      </w:r>
      <w:r w:rsidRPr="0062181A">
        <w:rPr>
          <w:b/>
          <w:bCs/>
          <w:lang w:val="en-US"/>
        </w:rPr>
        <w:t xml:space="preserve">: </w:t>
      </w:r>
      <w:r w:rsidRPr="000F43C4">
        <w:rPr>
          <w:rFonts w:ascii="CMR12" w:hAnsi="CMR12"/>
          <w:lang w:val="en-US"/>
        </w:rPr>
        <w:t>Self-reference effect in memory in social anxiety by the SDT approach.</w:t>
      </w:r>
    </w:p>
    <w:p w14:paraId="08659824" w14:textId="7CC0207E" w:rsidR="007C016A" w:rsidRPr="000F43C4" w:rsidRDefault="007C016A" w:rsidP="007C016A">
      <w:pPr>
        <w:spacing w:line="360" w:lineRule="auto"/>
        <w:rPr>
          <w:rFonts w:ascii="CMR12" w:hAnsi="CMR12"/>
          <w:lang w:val="en-US"/>
        </w:rPr>
      </w:pPr>
      <w:r>
        <w:rPr>
          <w:b/>
          <w:bCs/>
          <w:lang w:val="en-US"/>
        </w:rPr>
        <w:tab/>
        <w:t>(</w:t>
      </w:r>
      <w:r w:rsidRPr="000F43C4">
        <w:rPr>
          <w:rFonts w:ascii="CMR12" w:hAnsi="CMR12"/>
          <w:i/>
          <w:iCs/>
          <w:lang w:val="en-US"/>
        </w:rPr>
        <w:t>H2</w:t>
      </w:r>
      <w:r>
        <w:rPr>
          <w:i/>
          <w:iCs/>
          <w:lang w:val="en-US"/>
        </w:rPr>
        <w:t xml:space="preserve">) </w:t>
      </w:r>
      <w:r w:rsidRPr="000F43C4">
        <w:rPr>
          <w:rFonts w:ascii="CMR12" w:hAnsi="CMR12"/>
          <w:lang w:val="en-US"/>
        </w:rPr>
        <w:t>We predict that SA will be negatively corelated with signal detection theory</w:t>
      </w:r>
    </w:p>
    <w:p w14:paraId="125768DB" w14:textId="746D7806" w:rsidR="007C016A" w:rsidRPr="000F43C4" w:rsidRDefault="007C016A" w:rsidP="000F43C4">
      <w:pPr>
        <w:spacing w:line="360" w:lineRule="auto"/>
        <w:ind w:left="720"/>
        <w:rPr>
          <w:rFonts w:ascii="CMR12" w:hAnsi="CMR12"/>
          <w:lang w:val="en-US"/>
        </w:rPr>
      </w:pPr>
      <w:r w:rsidRPr="000F43C4">
        <w:rPr>
          <w:rFonts w:ascii="CMR12" w:hAnsi="CMR12"/>
          <w:lang w:val="en-US"/>
        </w:rPr>
        <w:t>parameters (e.g. d’ and β)</w:t>
      </w:r>
      <w:r w:rsidR="00857B31" w:rsidRPr="000F43C4">
        <w:rPr>
          <w:rFonts w:ascii="CMR12" w:hAnsi="CMR12"/>
          <w:lang w:val="en-US"/>
        </w:rPr>
        <w:t>, for dominant adjectives but not for affiliative adjectives.</w:t>
      </w:r>
    </w:p>
    <w:p w14:paraId="33933C6B" w14:textId="26AF4E2D" w:rsidR="000F43C4" w:rsidRDefault="000F43C4" w:rsidP="00857B31">
      <w:pPr>
        <w:spacing w:line="360" w:lineRule="auto"/>
        <w:rPr>
          <w:b/>
          <w:bCs/>
          <w:lang w:val="en-US"/>
        </w:rPr>
      </w:pPr>
    </w:p>
    <w:p w14:paraId="2E56D1F1" w14:textId="53C0C9DD" w:rsidR="000B6492" w:rsidRDefault="000B6492" w:rsidP="00857B31">
      <w:pPr>
        <w:spacing w:line="360" w:lineRule="auto"/>
        <w:rPr>
          <w:b/>
          <w:bCs/>
          <w:lang w:val="en-US"/>
        </w:rPr>
      </w:pPr>
    </w:p>
    <w:p w14:paraId="260D0FC9" w14:textId="5E234618" w:rsidR="000B6492" w:rsidRDefault="000B6492" w:rsidP="00857B31">
      <w:pPr>
        <w:spacing w:line="360" w:lineRule="auto"/>
        <w:rPr>
          <w:b/>
          <w:bCs/>
          <w:lang w:val="en-US"/>
        </w:rPr>
      </w:pPr>
    </w:p>
    <w:p w14:paraId="0A44E9C7" w14:textId="10C92FB8" w:rsidR="000B6492" w:rsidRDefault="000B6492" w:rsidP="00857B31">
      <w:pPr>
        <w:spacing w:line="360" w:lineRule="auto"/>
        <w:rPr>
          <w:b/>
          <w:bCs/>
          <w:lang w:val="en-US"/>
        </w:rPr>
      </w:pPr>
    </w:p>
    <w:p w14:paraId="113850B5" w14:textId="77777777" w:rsidR="000B6492" w:rsidRDefault="000B6492" w:rsidP="00857B31">
      <w:pPr>
        <w:spacing w:line="360" w:lineRule="auto"/>
        <w:rPr>
          <w:rFonts w:ascii="CMR12" w:hAnsi="CMR12"/>
          <w:lang w:val="en-US"/>
        </w:rPr>
      </w:pPr>
    </w:p>
    <w:p w14:paraId="211913F5" w14:textId="4CDF74DE" w:rsidR="00857B31" w:rsidRPr="000F43C4" w:rsidRDefault="000F43C4" w:rsidP="00857B31">
      <w:pPr>
        <w:spacing w:line="360" w:lineRule="auto"/>
        <w:rPr>
          <w:rFonts w:ascii="CMR12" w:hAnsi="CMR12"/>
          <w:b/>
          <w:bCs/>
          <w:u w:val="single"/>
          <w:lang w:val="en-US"/>
        </w:rPr>
      </w:pPr>
      <w:r w:rsidRPr="000F43C4">
        <w:rPr>
          <w:rFonts w:ascii="CMR12" w:hAnsi="CMR12"/>
          <w:b/>
          <w:bCs/>
          <w:u w:val="single"/>
          <w:lang w:val="en-US"/>
        </w:rPr>
        <w:t>Measures</w:t>
      </w:r>
    </w:p>
    <w:p w14:paraId="5C717C9A" w14:textId="77777777" w:rsidR="00857B31" w:rsidRPr="000F43C4" w:rsidRDefault="00857B31" w:rsidP="00857B31">
      <w:pPr>
        <w:spacing w:line="360" w:lineRule="auto"/>
        <w:rPr>
          <w:rFonts w:ascii="CMR12" w:hAnsi="CMR12"/>
          <w:i/>
          <w:iCs/>
        </w:rPr>
      </w:pPr>
      <w:r w:rsidRPr="000F43C4">
        <w:rPr>
          <w:rFonts w:ascii="CMR12" w:hAnsi="CMR12"/>
          <w:i/>
          <w:iCs/>
        </w:rPr>
        <w:t>Questionnaires:</w:t>
      </w:r>
    </w:p>
    <w:p w14:paraId="5BCA1403" w14:textId="08C60541" w:rsidR="00857B31" w:rsidRPr="000F43C4" w:rsidRDefault="00857B31" w:rsidP="00857B31">
      <w:pPr>
        <w:spacing w:line="360" w:lineRule="auto"/>
        <w:ind w:firstLine="720"/>
        <w:rPr>
          <w:rFonts w:ascii="CMR12" w:hAnsi="CMR12"/>
        </w:rPr>
      </w:pPr>
      <w:r w:rsidRPr="000F43C4">
        <w:rPr>
          <w:rFonts w:ascii="CMR12" w:hAnsi="CMR12"/>
          <w:b/>
          <w:bCs/>
        </w:rPr>
        <w:t>Social</w:t>
      </w:r>
      <w:r w:rsidRPr="00857B31">
        <w:rPr>
          <w:b/>
          <w:bCs/>
        </w:rPr>
        <w:t xml:space="preserve"> </w:t>
      </w:r>
      <w:r w:rsidRPr="000F43C4">
        <w:rPr>
          <w:rFonts w:ascii="CMR12" w:hAnsi="CMR12"/>
          <w:b/>
          <w:bCs/>
        </w:rPr>
        <w:t>Anxiety</w:t>
      </w:r>
      <w:r w:rsidRPr="00857B31">
        <w:t xml:space="preserve">. </w:t>
      </w:r>
      <w:r w:rsidRPr="000F43C4">
        <w:rPr>
          <w:rFonts w:ascii="CMR12" w:hAnsi="CMR12"/>
        </w:rPr>
        <w:t>Measured by two self-report questionnaires which asses cognitive, affective, somatic and avoidant symptoms of social anxiety (SPIN – Connor et al., 2000; LSAS-SR – Fresco et al., 2001). Questionnaires scores will be standardized and combined into composite variable for SA severity (SAD).</w:t>
      </w:r>
    </w:p>
    <w:p w14:paraId="0B569296" w14:textId="1C210B48" w:rsidR="00AD78B6" w:rsidRPr="000F43C4" w:rsidRDefault="00AD78B6" w:rsidP="000F43C4">
      <w:pPr>
        <w:spacing w:line="360" w:lineRule="auto"/>
        <w:ind w:firstLine="720"/>
        <w:rPr>
          <w:rFonts w:ascii="CMR12" w:hAnsi="CMR12"/>
        </w:rPr>
      </w:pPr>
      <w:r w:rsidRPr="000F43C4">
        <w:rPr>
          <w:rFonts w:ascii="CMR12" w:hAnsi="CMR12"/>
          <w:b/>
          <w:bCs/>
        </w:rPr>
        <w:t>Depression</w:t>
      </w:r>
      <w:r w:rsidR="00A57BD6" w:rsidRPr="000F43C4">
        <w:rPr>
          <w:rFonts w:ascii="CMR12" w:hAnsi="CMR12"/>
        </w:rPr>
        <w:t>. M</w:t>
      </w:r>
      <w:r w:rsidRPr="000F43C4">
        <w:rPr>
          <w:rFonts w:ascii="CMR12" w:hAnsi="CMR12"/>
        </w:rPr>
        <w:t>easured by Beck Depression Inventory II (BDI</w:t>
      </w:r>
      <w:r w:rsidR="00FE10A6" w:rsidRPr="000F43C4">
        <w:rPr>
          <w:rFonts w:ascii="CMR12" w:hAnsi="CMR12"/>
        </w:rPr>
        <w:t xml:space="preserve"> – </w:t>
      </w:r>
      <w:r w:rsidRPr="000F43C4">
        <w:rPr>
          <w:rFonts w:ascii="CMR12" w:hAnsi="CMR12"/>
        </w:rPr>
        <w:t xml:space="preserve">Beck et al., 1996), a self-report questionnaire which assess affective, cognitive, motivational and somatic symptoms of depression. </w:t>
      </w:r>
    </w:p>
    <w:p w14:paraId="2B478DA3" w14:textId="77777777" w:rsidR="00857B31" w:rsidRDefault="00857B31" w:rsidP="00AD78B6">
      <w:pPr>
        <w:spacing w:line="360" w:lineRule="auto"/>
        <w:rPr>
          <w:i/>
          <w:iCs/>
          <w:lang w:val="en-US"/>
        </w:rPr>
      </w:pPr>
    </w:p>
    <w:p w14:paraId="17FD34FE" w14:textId="731164B4" w:rsidR="00A57BD6" w:rsidRPr="000F43C4" w:rsidRDefault="00857B31" w:rsidP="00AD78B6">
      <w:pPr>
        <w:spacing w:line="360" w:lineRule="auto"/>
        <w:rPr>
          <w:rFonts w:ascii="CMR12" w:hAnsi="CMR12"/>
          <w:i/>
          <w:iCs/>
        </w:rPr>
      </w:pPr>
      <w:r w:rsidRPr="000F43C4">
        <w:rPr>
          <w:rFonts w:ascii="CMR12" w:hAnsi="CMR12"/>
          <w:i/>
          <w:iCs/>
        </w:rPr>
        <w:t>Variables:</w:t>
      </w:r>
    </w:p>
    <w:p w14:paraId="7D5139F5" w14:textId="2A2B9A31" w:rsidR="00857B31" w:rsidRPr="000F43C4" w:rsidRDefault="00857B31" w:rsidP="00AD78B6">
      <w:pPr>
        <w:spacing w:line="360" w:lineRule="auto"/>
        <w:rPr>
          <w:rFonts w:ascii="CMR12" w:hAnsi="CMR12"/>
          <w:i/>
          <w:iCs/>
        </w:rPr>
      </w:pPr>
      <w:r w:rsidRPr="000F43C4">
        <w:rPr>
          <w:rFonts w:ascii="CMR12" w:hAnsi="CMR12"/>
          <w:i/>
          <w:iCs/>
        </w:rPr>
        <w:tab/>
      </w:r>
      <w:r w:rsidRPr="000F43C4">
        <w:rPr>
          <w:rFonts w:ascii="CMR12" w:hAnsi="CMR12"/>
          <w:b/>
          <w:bCs/>
        </w:rPr>
        <w:t>Endorsed adjective</w:t>
      </w:r>
      <w:r w:rsidRPr="000F43C4">
        <w:rPr>
          <w:rFonts w:ascii="CMR12" w:hAnsi="CMR12"/>
          <w:i/>
          <w:iCs/>
        </w:rPr>
        <w:t xml:space="preserve">. </w:t>
      </w:r>
      <w:r w:rsidRPr="000F43C4">
        <w:rPr>
          <w:rFonts w:ascii="CMR12" w:hAnsi="CMR12"/>
        </w:rPr>
        <w:t>The number of endorsed adjectives will be computed for each category (positive/ negative; affiliative/dominant).</w:t>
      </w:r>
    </w:p>
    <w:p w14:paraId="65C71AB9" w14:textId="3D30EBF2" w:rsidR="00857B31" w:rsidRPr="000F43C4" w:rsidRDefault="00857B31" w:rsidP="00AD78B6">
      <w:pPr>
        <w:spacing w:line="360" w:lineRule="auto"/>
        <w:rPr>
          <w:rFonts w:ascii="CMR12" w:hAnsi="CMR12"/>
        </w:rPr>
      </w:pPr>
      <w:r w:rsidRPr="000F43C4">
        <w:rPr>
          <w:rFonts w:ascii="CMR12" w:hAnsi="CMR12"/>
          <w:i/>
          <w:iCs/>
        </w:rPr>
        <w:tab/>
      </w:r>
      <w:r w:rsidRPr="000F43C4">
        <w:rPr>
          <w:rFonts w:ascii="CMR12" w:hAnsi="CMR12"/>
          <w:b/>
          <w:bCs/>
        </w:rPr>
        <w:t>Drift rates (v).</w:t>
      </w:r>
      <w:r w:rsidRPr="000F43C4">
        <w:rPr>
          <w:rFonts w:ascii="CMR12" w:hAnsi="CMR12"/>
        </w:rPr>
        <w:t xml:space="preserve"> Endorsement and RTs will be combined to produce drift rates for each category (based on the EZ diffusion model; Wagenmakers, 2007).</w:t>
      </w:r>
    </w:p>
    <w:p w14:paraId="70059F03" w14:textId="35892512" w:rsidR="00857B31" w:rsidRPr="000F43C4" w:rsidRDefault="00857B31" w:rsidP="00AD78B6">
      <w:pPr>
        <w:spacing w:line="360" w:lineRule="auto"/>
        <w:rPr>
          <w:rFonts w:ascii="CMR12" w:hAnsi="CMR12"/>
        </w:rPr>
      </w:pPr>
      <w:r w:rsidRPr="000F43C4">
        <w:rPr>
          <w:rFonts w:ascii="CMR12" w:hAnsi="CMR12"/>
          <w:i/>
          <w:iCs/>
        </w:rPr>
        <w:tab/>
      </w:r>
      <w:r w:rsidRPr="000F43C4">
        <w:rPr>
          <w:rFonts w:ascii="CMR12" w:hAnsi="CMR12"/>
          <w:b/>
          <w:bCs/>
        </w:rPr>
        <w:t>d' and β</w:t>
      </w:r>
      <w:r w:rsidRPr="000F43C4">
        <w:rPr>
          <w:rFonts w:ascii="CMR12" w:hAnsi="CMR12"/>
        </w:rPr>
        <w:t xml:space="preserve">. As was mentioned before, recalled and endorsed adjectives from each category will be combined to produce the SDT paraments for each individual (based on Stanislaw &amp; Todorov, 1999; Abdi, 2007, Karmon-Presser &amp; Meiran, </w:t>
      </w:r>
      <w:r w:rsidR="0062181A" w:rsidRPr="000F43C4">
        <w:rPr>
          <w:rFonts w:ascii="CMR12" w:hAnsi="CMR12"/>
        </w:rPr>
        <w:t>2018).</w:t>
      </w:r>
    </w:p>
    <w:p w14:paraId="696000F9" w14:textId="73AECC96" w:rsidR="0062181A" w:rsidRPr="000F43C4" w:rsidRDefault="0062181A" w:rsidP="00AD78B6">
      <w:pPr>
        <w:spacing w:line="360" w:lineRule="auto"/>
        <w:rPr>
          <w:rFonts w:ascii="CMR12" w:hAnsi="CMR12"/>
          <w:color w:val="FF0000"/>
        </w:rPr>
      </w:pPr>
      <w:r w:rsidRPr="000F43C4">
        <w:rPr>
          <w:rFonts w:ascii="CMR12" w:hAnsi="CMR12"/>
        </w:rPr>
        <w:tab/>
      </w:r>
      <w:r w:rsidRPr="000B6492">
        <w:rPr>
          <w:rFonts w:ascii="CMR12" w:hAnsi="CMR12"/>
          <w:b/>
          <w:bCs/>
          <w:color w:val="000000" w:themeColor="text1"/>
        </w:rPr>
        <w:t>SRE (self-reference effect) Ratio</w:t>
      </w:r>
      <w:r w:rsidRPr="000B6492">
        <w:rPr>
          <w:rFonts w:ascii="CMR12" w:hAnsi="CMR12"/>
          <w:color w:val="000000" w:themeColor="text1"/>
        </w:rPr>
        <w:t>. Represent differences between endorsed and not endorsed words in the recollection phase, accounting for individual differences in endorsement. Higher scores indicate higher self-endorsed adjectives recalled compared to not-endorsed adjectives recalled (beyond individual attribution style).</w:t>
      </w:r>
    </w:p>
    <w:p w14:paraId="03F46725" w14:textId="77777777" w:rsidR="00367954" w:rsidRDefault="00367954" w:rsidP="00035D7E">
      <w:pPr>
        <w:spacing w:line="360" w:lineRule="auto"/>
        <w:rPr>
          <w:b/>
          <w:bCs/>
        </w:rPr>
      </w:pPr>
    </w:p>
    <w:p w14:paraId="6FDAABB2" w14:textId="09DF7938" w:rsidR="00035D7E" w:rsidRPr="003F75C1" w:rsidRDefault="00035D7E" w:rsidP="00035D7E">
      <w:pPr>
        <w:spacing w:line="360" w:lineRule="auto"/>
        <w:rPr>
          <w:rFonts w:ascii="CMR12" w:hAnsi="CMR12"/>
          <w:b/>
          <w:bCs/>
          <w:u w:val="single"/>
        </w:rPr>
      </w:pPr>
      <w:r w:rsidRPr="003F75C1">
        <w:rPr>
          <w:rFonts w:ascii="CMR12" w:hAnsi="CMR12"/>
          <w:b/>
          <w:bCs/>
          <w:u w:val="single"/>
        </w:rPr>
        <w:t>Previous Data</w:t>
      </w:r>
      <w:r w:rsidR="0062181A" w:rsidRPr="003F75C1">
        <w:rPr>
          <w:rFonts w:ascii="CMR12" w:hAnsi="CMR12"/>
          <w:b/>
          <w:bCs/>
          <w:u w:val="single"/>
        </w:rPr>
        <w:t>.</w:t>
      </w:r>
    </w:p>
    <w:p w14:paraId="5775CEE6" w14:textId="5D8F31BB" w:rsidR="00D87E7C" w:rsidRPr="003F75C1" w:rsidRDefault="0062181A" w:rsidP="00D87E7C">
      <w:pPr>
        <w:spacing w:line="360" w:lineRule="auto"/>
        <w:rPr>
          <w:rFonts w:ascii="CMR12" w:hAnsi="CMR12"/>
          <w:b/>
          <w:bCs/>
          <w:i/>
          <w:iCs/>
          <w:lang w:val="en-US"/>
        </w:rPr>
      </w:pPr>
      <w:r w:rsidRPr="003F75C1">
        <w:rPr>
          <w:rFonts w:ascii="CMR12" w:hAnsi="CMR12"/>
          <w:b/>
          <w:bCs/>
          <w:i/>
          <w:iCs/>
        </w:rPr>
        <w:t xml:space="preserve"> </w:t>
      </w:r>
      <w:r w:rsidR="00035D7E" w:rsidRPr="003F75C1">
        <w:rPr>
          <w:rFonts w:ascii="CMR12" w:hAnsi="CMR12"/>
          <w:b/>
          <w:bCs/>
          <w:i/>
          <w:iCs/>
        </w:rPr>
        <w:t>Participants</w:t>
      </w:r>
      <w:r w:rsidR="003F75C1">
        <w:rPr>
          <w:rFonts w:ascii="CMR12" w:hAnsi="CMR12"/>
          <w:b/>
          <w:bCs/>
          <w:i/>
          <w:iCs/>
          <w:lang w:val="en-US"/>
        </w:rPr>
        <w:t>.</w:t>
      </w:r>
      <w:r w:rsidR="003F75C1" w:rsidRPr="003F75C1">
        <w:rPr>
          <w:rFonts w:ascii="CMR12" w:hAnsi="CMR12"/>
        </w:rPr>
        <w:t xml:space="preserve"> </w:t>
      </w:r>
      <w:r w:rsidR="00035D7E" w:rsidRPr="003F75C1">
        <w:rPr>
          <w:rFonts w:ascii="CMR12" w:hAnsi="CMR12"/>
        </w:rPr>
        <w:t xml:space="preserve">Initial sample consisted of 106 undergraduate </w:t>
      </w:r>
      <w:r w:rsidR="005E60BB" w:rsidRPr="003F75C1">
        <w:rPr>
          <w:rFonts w:ascii="CMR12" w:hAnsi="CMR12"/>
        </w:rPr>
        <w:t xml:space="preserve">psychology </w:t>
      </w:r>
      <w:r w:rsidR="00035D7E" w:rsidRPr="003F75C1">
        <w:rPr>
          <w:rFonts w:ascii="CMR12" w:hAnsi="CMR12"/>
        </w:rPr>
        <w:t xml:space="preserve">students from Bar-Ilan University. 8 participants were excluded from the sample because </w:t>
      </w:r>
      <w:r w:rsidRPr="003F75C1">
        <w:rPr>
          <w:rFonts w:ascii="CMR12" w:hAnsi="CMR12"/>
        </w:rPr>
        <w:t xml:space="preserve">of our exclusion criteria (detailed below). </w:t>
      </w:r>
      <w:r w:rsidR="00035D7E" w:rsidRPr="003F75C1">
        <w:rPr>
          <w:rFonts w:ascii="CMR12" w:hAnsi="CMR12"/>
        </w:rPr>
        <w:t>Final sample consisted of 98 participants, 81 women (82.7%).</w:t>
      </w:r>
      <w:r w:rsidR="00125988" w:rsidRPr="0062181A">
        <w:rPr>
          <w:rFonts w:hint="cs"/>
          <w:rtl/>
        </w:rPr>
        <w:t xml:space="preserve"> </w:t>
      </w:r>
      <w:r w:rsidR="00125988" w:rsidRPr="0062181A">
        <w:rPr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Y="345"/>
        <w:tblW w:w="0" w:type="auto"/>
        <w:tblLook w:val="04A0" w:firstRow="1" w:lastRow="0" w:firstColumn="1" w:lastColumn="0" w:noHBand="0" w:noVBand="1"/>
      </w:tblPr>
      <w:tblGrid>
        <w:gridCol w:w="657"/>
        <w:gridCol w:w="756"/>
        <w:gridCol w:w="709"/>
      </w:tblGrid>
      <w:tr w:rsidR="0062181A" w:rsidRPr="00E22532" w14:paraId="267A7862" w14:textId="77777777" w:rsidTr="0062181A">
        <w:tc>
          <w:tcPr>
            <w:tcW w:w="657" w:type="dxa"/>
            <w:shd w:val="clear" w:color="auto" w:fill="D0CECE" w:themeFill="background2" w:themeFillShade="E6"/>
          </w:tcPr>
          <w:p w14:paraId="5EDEF13A" w14:textId="77777777" w:rsidR="0062181A" w:rsidRPr="00E22532" w:rsidRDefault="0062181A" w:rsidP="0062181A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56" w:type="dxa"/>
            <w:shd w:val="clear" w:color="auto" w:fill="D0CECE" w:themeFill="background2" w:themeFillShade="E6"/>
          </w:tcPr>
          <w:p w14:paraId="29D91D02" w14:textId="77777777" w:rsidR="0062181A" w:rsidRPr="00E22532" w:rsidRDefault="0062181A" w:rsidP="0062181A">
            <w:pPr>
              <w:jc w:val="center"/>
              <w:rPr>
                <w:sz w:val="20"/>
                <w:szCs w:val="20"/>
                <w:lang w:val="en-US"/>
              </w:rPr>
            </w:pPr>
            <w:r w:rsidRPr="00E22532">
              <w:rPr>
                <w:sz w:val="20"/>
                <w:szCs w:val="20"/>
                <w:lang w:val="en-US"/>
              </w:rPr>
              <w:t>Mean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093A8E87" w14:textId="77777777" w:rsidR="0062181A" w:rsidRPr="00E22532" w:rsidRDefault="0062181A" w:rsidP="0062181A">
            <w:pPr>
              <w:jc w:val="center"/>
              <w:rPr>
                <w:sz w:val="20"/>
                <w:szCs w:val="20"/>
                <w:lang w:val="en-US"/>
              </w:rPr>
            </w:pPr>
            <w:r w:rsidRPr="00E22532">
              <w:rPr>
                <w:sz w:val="20"/>
                <w:szCs w:val="20"/>
                <w:lang w:val="en-US"/>
              </w:rPr>
              <w:t>SD</w:t>
            </w:r>
          </w:p>
        </w:tc>
      </w:tr>
      <w:tr w:rsidR="0062181A" w:rsidRPr="00E22532" w14:paraId="6F03B880" w14:textId="77777777" w:rsidTr="0062181A">
        <w:tc>
          <w:tcPr>
            <w:tcW w:w="657" w:type="dxa"/>
          </w:tcPr>
          <w:p w14:paraId="436908F0" w14:textId="77777777" w:rsidR="0062181A" w:rsidRPr="00035D7E" w:rsidRDefault="0062181A" w:rsidP="0062181A">
            <w:pPr>
              <w:spacing w:line="360" w:lineRule="auto"/>
              <w:rPr>
                <w:sz w:val="18"/>
                <w:szCs w:val="18"/>
                <w:lang w:val="en-US"/>
              </w:rPr>
            </w:pPr>
            <w:r w:rsidRPr="00035D7E">
              <w:rPr>
                <w:sz w:val="18"/>
                <w:szCs w:val="18"/>
                <w:lang w:val="en-US"/>
              </w:rPr>
              <w:t>Age</w:t>
            </w:r>
          </w:p>
        </w:tc>
        <w:tc>
          <w:tcPr>
            <w:tcW w:w="756" w:type="dxa"/>
          </w:tcPr>
          <w:p w14:paraId="2F88C803" w14:textId="77777777" w:rsidR="0062181A" w:rsidRPr="00035D7E" w:rsidRDefault="0062181A" w:rsidP="0062181A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 w:rsidRPr="00035D7E">
              <w:rPr>
                <w:sz w:val="18"/>
                <w:szCs w:val="18"/>
                <w:lang w:val="en-US"/>
              </w:rPr>
              <w:t>22.53</w:t>
            </w:r>
          </w:p>
        </w:tc>
        <w:tc>
          <w:tcPr>
            <w:tcW w:w="709" w:type="dxa"/>
          </w:tcPr>
          <w:p w14:paraId="2D6DF95A" w14:textId="77777777" w:rsidR="0062181A" w:rsidRPr="00035D7E" w:rsidRDefault="0062181A" w:rsidP="0062181A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 w:rsidRPr="00035D7E">
              <w:rPr>
                <w:sz w:val="18"/>
                <w:szCs w:val="18"/>
                <w:lang w:val="en-US"/>
              </w:rPr>
              <w:t>1.55</w:t>
            </w:r>
          </w:p>
        </w:tc>
      </w:tr>
      <w:tr w:rsidR="0062181A" w:rsidRPr="00E22532" w14:paraId="435EC8C4" w14:textId="77777777" w:rsidTr="0062181A">
        <w:tc>
          <w:tcPr>
            <w:tcW w:w="657" w:type="dxa"/>
          </w:tcPr>
          <w:p w14:paraId="7CC9F949" w14:textId="77777777" w:rsidR="0062181A" w:rsidRPr="00035D7E" w:rsidRDefault="0062181A" w:rsidP="0062181A">
            <w:pPr>
              <w:spacing w:line="360" w:lineRule="auto"/>
              <w:rPr>
                <w:sz w:val="18"/>
                <w:szCs w:val="18"/>
                <w:lang w:val="en-US"/>
              </w:rPr>
            </w:pPr>
            <w:r w:rsidRPr="00035D7E">
              <w:rPr>
                <w:sz w:val="18"/>
                <w:szCs w:val="18"/>
                <w:lang w:val="en-US"/>
              </w:rPr>
              <w:t>BDI</w:t>
            </w:r>
          </w:p>
        </w:tc>
        <w:tc>
          <w:tcPr>
            <w:tcW w:w="756" w:type="dxa"/>
          </w:tcPr>
          <w:p w14:paraId="6B6D7036" w14:textId="77777777" w:rsidR="0062181A" w:rsidRPr="00035D7E" w:rsidRDefault="0062181A" w:rsidP="0062181A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 w:rsidRPr="00035D7E">
              <w:rPr>
                <w:sz w:val="18"/>
                <w:szCs w:val="18"/>
                <w:lang w:val="en-US"/>
              </w:rPr>
              <w:t>7.27</w:t>
            </w:r>
          </w:p>
        </w:tc>
        <w:tc>
          <w:tcPr>
            <w:tcW w:w="709" w:type="dxa"/>
          </w:tcPr>
          <w:p w14:paraId="6076A9D9" w14:textId="77777777" w:rsidR="0062181A" w:rsidRPr="00035D7E" w:rsidRDefault="0062181A" w:rsidP="0062181A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 w:rsidRPr="00035D7E">
              <w:rPr>
                <w:sz w:val="18"/>
                <w:szCs w:val="18"/>
                <w:lang w:val="en-US"/>
              </w:rPr>
              <w:t>6.09</w:t>
            </w:r>
          </w:p>
        </w:tc>
      </w:tr>
      <w:tr w:rsidR="0062181A" w:rsidRPr="00E22532" w14:paraId="6FA57735" w14:textId="77777777" w:rsidTr="0062181A">
        <w:tc>
          <w:tcPr>
            <w:tcW w:w="657" w:type="dxa"/>
          </w:tcPr>
          <w:p w14:paraId="2648E65D" w14:textId="77777777" w:rsidR="0062181A" w:rsidRPr="00035D7E" w:rsidRDefault="0062181A" w:rsidP="0062181A">
            <w:pPr>
              <w:spacing w:line="360" w:lineRule="auto"/>
              <w:rPr>
                <w:sz w:val="18"/>
                <w:szCs w:val="18"/>
                <w:lang w:val="en-US"/>
              </w:rPr>
            </w:pPr>
            <w:r w:rsidRPr="00035D7E">
              <w:rPr>
                <w:sz w:val="18"/>
                <w:szCs w:val="18"/>
                <w:lang w:val="en-US"/>
              </w:rPr>
              <w:t>SPIN</w:t>
            </w:r>
          </w:p>
        </w:tc>
        <w:tc>
          <w:tcPr>
            <w:tcW w:w="756" w:type="dxa"/>
          </w:tcPr>
          <w:p w14:paraId="55BA4B7C" w14:textId="77777777" w:rsidR="0062181A" w:rsidRPr="00035D7E" w:rsidRDefault="0062181A" w:rsidP="0062181A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 w:rsidRPr="00035D7E">
              <w:rPr>
                <w:sz w:val="18"/>
                <w:szCs w:val="18"/>
                <w:lang w:val="en-US"/>
              </w:rPr>
              <w:t>17.95</w:t>
            </w:r>
          </w:p>
        </w:tc>
        <w:tc>
          <w:tcPr>
            <w:tcW w:w="709" w:type="dxa"/>
          </w:tcPr>
          <w:p w14:paraId="66EEBBBF" w14:textId="77777777" w:rsidR="0062181A" w:rsidRPr="00035D7E" w:rsidRDefault="0062181A" w:rsidP="0062181A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 w:rsidRPr="00035D7E">
              <w:rPr>
                <w:sz w:val="18"/>
                <w:szCs w:val="18"/>
                <w:lang w:val="en-US"/>
              </w:rPr>
              <w:t>13.90</w:t>
            </w:r>
          </w:p>
        </w:tc>
      </w:tr>
      <w:tr w:rsidR="0062181A" w:rsidRPr="00E22532" w14:paraId="71C2D1A1" w14:textId="77777777" w:rsidTr="0062181A">
        <w:tc>
          <w:tcPr>
            <w:tcW w:w="657" w:type="dxa"/>
          </w:tcPr>
          <w:p w14:paraId="39DB30E1" w14:textId="77777777" w:rsidR="0062181A" w:rsidRPr="00035D7E" w:rsidRDefault="0062181A" w:rsidP="0062181A">
            <w:pPr>
              <w:spacing w:line="360" w:lineRule="auto"/>
              <w:rPr>
                <w:sz w:val="18"/>
                <w:szCs w:val="18"/>
                <w:lang w:val="en-US"/>
              </w:rPr>
            </w:pPr>
            <w:r w:rsidRPr="00035D7E">
              <w:rPr>
                <w:sz w:val="18"/>
                <w:szCs w:val="18"/>
                <w:lang w:val="en-US"/>
              </w:rPr>
              <w:lastRenderedPageBreak/>
              <w:t>LSAS</w:t>
            </w:r>
          </w:p>
        </w:tc>
        <w:tc>
          <w:tcPr>
            <w:tcW w:w="756" w:type="dxa"/>
          </w:tcPr>
          <w:p w14:paraId="28EEEEB2" w14:textId="77777777" w:rsidR="0062181A" w:rsidRPr="00035D7E" w:rsidRDefault="0062181A" w:rsidP="0062181A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 w:rsidRPr="00035D7E">
              <w:rPr>
                <w:sz w:val="18"/>
                <w:szCs w:val="18"/>
                <w:lang w:val="en-US"/>
              </w:rPr>
              <w:t>40.97</w:t>
            </w:r>
          </w:p>
        </w:tc>
        <w:tc>
          <w:tcPr>
            <w:tcW w:w="709" w:type="dxa"/>
          </w:tcPr>
          <w:p w14:paraId="7147FD06" w14:textId="77777777" w:rsidR="0062181A" w:rsidRPr="00035D7E" w:rsidRDefault="0062181A" w:rsidP="0062181A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 w:rsidRPr="00035D7E">
              <w:rPr>
                <w:sz w:val="18"/>
                <w:szCs w:val="18"/>
                <w:lang w:val="en-US"/>
              </w:rPr>
              <w:t>21.83</w:t>
            </w:r>
          </w:p>
        </w:tc>
      </w:tr>
    </w:tbl>
    <w:p w14:paraId="0F982FE0" w14:textId="7C22248D" w:rsidR="0062181A" w:rsidRPr="00D87E7C" w:rsidRDefault="0062181A" w:rsidP="0062181A">
      <w:pPr>
        <w:spacing w:line="360" w:lineRule="auto"/>
        <w:rPr>
          <w:rFonts w:ascii="CMR12" w:hAnsi="CMR12"/>
          <w:b/>
          <w:bCs/>
          <w:i/>
          <w:iCs/>
          <w:lang w:val="en-US"/>
        </w:rPr>
      </w:pPr>
      <w:r w:rsidRPr="003F75C1">
        <w:rPr>
          <w:rFonts w:ascii="CMR12" w:hAnsi="CMR12"/>
          <w:b/>
          <w:bCs/>
          <w:i/>
          <w:iCs/>
        </w:rPr>
        <w:t>Sample Descriptive</w:t>
      </w:r>
      <w:r w:rsidR="00D87E7C">
        <w:rPr>
          <w:rFonts w:ascii="CMR12" w:hAnsi="CMR12"/>
          <w:b/>
          <w:bCs/>
          <w:i/>
          <w:iCs/>
          <w:lang w:val="en-US"/>
        </w:rPr>
        <w:t>.</w:t>
      </w:r>
    </w:p>
    <w:p w14:paraId="6FF93DE7" w14:textId="77777777" w:rsidR="00035D7E" w:rsidRDefault="00035D7E" w:rsidP="00035D7E">
      <w:pPr>
        <w:spacing w:line="360" w:lineRule="auto"/>
        <w:rPr>
          <w:b/>
          <w:bCs/>
        </w:rPr>
      </w:pPr>
    </w:p>
    <w:p w14:paraId="3B275AFF" w14:textId="77777777" w:rsidR="00035D7E" w:rsidRDefault="00035D7E" w:rsidP="00CA73A1">
      <w:pPr>
        <w:spacing w:line="360" w:lineRule="auto"/>
        <w:rPr>
          <w:sz w:val="20"/>
          <w:szCs w:val="20"/>
        </w:rPr>
      </w:pPr>
    </w:p>
    <w:p w14:paraId="41A37306" w14:textId="77777777" w:rsidR="00A72FB3" w:rsidRDefault="00A72FB3" w:rsidP="006D2016">
      <w:pPr>
        <w:spacing w:line="360" w:lineRule="auto"/>
        <w:rPr>
          <w:i/>
          <w:iCs/>
          <w:sz w:val="20"/>
          <w:szCs w:val="20"/>
          <w:u w:val="single"/>
        </w:rPr>
      </w:pPr>
    </w:p>
    <w:p w14:paraId="4DB1DC81" w14:textId="77777777" w:rsidR="00C80B72" w:rsidRDefault="00C80B72" w:rsidP="006D2016">
      <w:pPr>
        <w:spacing w:line="360" w:lineRule="auto"/>
        <w:rPr>
          <w:i/>
          <w:iCs/>
          <w:sz w:val="20"/>
          <w:szCs w:val="20"/>
          <w:u w:val="single"/>
        </w:rPr>
      </w:pPr>
    </w:p>
    <w:p w14:paraId="71C86CD3" w14:textId="1CE14CF7" w:rsidR="006D2016" w:rsidRPr="003F75C1" w:rsidRDefault="006D2016" w:rsidP="003F75C1">
      <w:pPr>
        <w:spacing w:line="360" w:lineRule="auto"/>
        <w:rPr>
          <w:rFonts w:ascii="CMR12" w:hAnsi="CMR12"/>
          <w:b/>
          <w:bCs/>
          <w:i/>
          <w:iCs/>
          <w:lang w:val="en-US"/>
        </w:rPr>
      </w:pPr>
      <w:r w:rsidRPr="003F75C1">
        <w:rPr>
          <w:rFonts w:ascii="CMR12" w:hAnsi="CMR12"/>
          <w:b/>
          <w:bCs/>
          <w:i/>
          <w:iCs/>
        </w:rPr>
        <w:t>Procedure</w:t>
      </w:r>
      <w:r w:rsidR="003F75C1">
        <w:rPr>
          <w:rFonts w:ascii="CMR12" w:hAnsi="CMR12"/>
          <w:b/>
          <w:bCs/>
          <w:i/>
          <w:iCs/>
          <w:lang w:val="en-US"/>
        </w:rPr>
        <w:t xml:space="preserve">. </w:t>
      </w:r>
      <w:r w:rsidRPr="003F75C1">
        <w:rPr>
          <w:rFonts w:ascii="CMR12" w:hAnsi="CMR12"/>
        </w:rPr>
        <w:t xml:space="preserve">Participants presented with 44 </w:t>
      </w:r>
      <w:r w:rsidR="00125988" w:rsidRPr="003F75C1">
        <w:rPr>
          <w:rFonts w:ascii="CMR12" w:hAnsi="CMR12"/>
        </w:rPr>
        <w:t>adjectives (22 dominant and 22 affiliative)</w:t>
      </w:r>
      <w:r w:rsidRPr="003F75C1">
        <w:rPr>
          <w:rFonts w:ascii="CMR12" w:hAnsi="CMR12"/>
        </w:rPr>
        <w:t xml:space="preserve"> during the SRET task</w:t>
      </w:r>
      <w:r w:rsidR="00D5161A" w:rsidRPr="003F75C1">
        <w:rPr>
          <w:rFonts w:ascii="CMR12" w:hAnsi="CMR12"/>
        </w:rPr>
        <w:t xml:space="preserve"> (see stimuli table in the appendix)</w:t>
      </w:r>
      <w:r w:rsidRPr="003F75C1">
        <w:rPr>
          <w:rFonts w:ascii="CMR12" w:hAnsi="CMR12"/>
        </w:rPr>
        <w:t xml:space="preserve">. </w:t>
      </w:r>
      <w:r w:rsidR="00125988" w:rsidRPr="003F75C1">
        <w:rPr>
          <w:rFonts w:ascii="CMR12" w:hAnsi="CMR12"/>
        </w:rPr>
        <w:t>For</w:t>
      </w:r>
      <w:r w:rsidRPr="003F75C1">
        <w:rPr>
          <w:rFonts w:ascii="CMR12" w:hAnsi="CMR12"/>
        </w:rPr>
        <w:t xml:space="preserve"> each category</w:t>
      </w:r>
      <w:r w:rsidR="00125988" w:rsidRPr="003F75C1">
        <w:rPr>
          <w:rFonts w:ascii="CMR12" w:hAnsi="CMR12"/>
        </w:rPr>
        <w:t xml:space="preserve"> we selected </w:t>
      </w:r>
      <w:r w:rsidRPr="003F75C1">
        <w:rPr>
          <w:rFonts w:ascii="CMR12" w:hAnsi="CMR12"/>
        </w:rPr>
        <w:t>half for each valence (positive or negative). Participants were asked to make a binary decision about whether each word presented to them describes them or not, by choosing the “me” or “not me” button on the computer’s keyboard. After completing the SRET task</w:t>
      </w:r>
      <w:r w:rsidR="008E16EE" w:rsidRPr="003F75C1">
        <w:rPr>
          <w:rFonts w:ascii="CMR12" w:hAnsi="CMR12"/>
        </w:rPr>
        <w:t xml:space="preserve">, </w:t>
      </w:r>
      <w:r w:rsidRPr="003F75C1">
        <w:rPr>
          <w:rFonts w:ascii="CMR12" w:hAnsi="CMR12"/>
        </w:rPr>
        <w:t>participants have been given a one-minute resting period and then asked to recall as many traits as they can remember. Next participants completed questionnaires addressing demographic details, social anxiety and depression symptoms severity.</w:t>
      </w:r>
    </w:p>
    <w:p w14:paraId="78A2BB53" w14:textId="46B1B60F" w:rsidR="006D2016" w:rsidRDefault="006D2016" w:rsidP="00CA73A1">
      <w:pPr>
        <w:spacing w:line="360" w:lineRule="auto"/>
        <w:rPr>
          <w:sz w:val="20"/>
          <w:szCs w:val="20"/>
        </w:rPr>
      </w:pPr>
    </w:p>
    <w:p w14:paraId="28EBE3CF" w14:textId="0204AE8E" w:rsidR="00AD78B6" w:rsidRPr="003F75C1" w:rsidRDefault="00A72FB3" w:rsidP="003F75C1">
      <w:pPr>
        <w:spacing w:line="360" w:lineRule="auto"/>
        <w:rPr>
          <w:rFonts w:ascii="CMR12" w:hAnsi="CMR12"/>
        </w:rPr>
      </w:pPr>
      <w:r w:rsidRPr="003F75C1">
        <w:rPr>
          <w:rFonts w:ascii="CMR12" w:hAnsi="CMR12"/>
          <w:b/>
          <w:bCs/>
          <w:i/>
          <w:iCs/>
        </w:rPr>
        <w:t>Stimuli selection</w:t>
      </w:r>
      <w:r w:rsidR="003F75C1">
        <w:rPr>
          <w:rFonts w:ascii="CMR12" w:hAnsi="CMR12"/>
          <w:b/>
          <w:bCs/>
          <w:i/>
          <w:iCs/>
          <w:lang w:val="en-US"/>
        </w:rPr>
        <w:t xml:space="preserve">. </w:t>
      </w:r>
      <w:r w:rsidRPr="003F75C1">
        <w:rPr>
          <w:rFonts w:ascii="CMR12" w:hAnsi="CMR12"/>
        </w:rPr>
        <w:t xml:space="preserve">11 traits were chosen for each category during team discussions and based on our lab’s prior validation of social-rank and affiliation stimuli work in validation </w:t>
      </w:r>
      <w:r w:rsidR="005D1D3A" w:rsidRPr="003F75C1">
        <w:rPr>
          <w:rFonts w:ascii="CMR12" w:hAnsi="CMR12"/>
        </w:rPr>
        <w:t xml:space="preserve">(Gilboa-Schechtman et al., 2017). </w:t>
      </w:r>
    </w:p>
    <w:p w14:paraId="3846E17F" w14:textId="77777777" w:rsidR="008E16EE" w:rsidRPr="0062181A" w:rsidRDefault="008E16EE" w:rsidP="00CA73A1">
      <w:pPr>
        <w:spacing w:line="360" w:lineRule="auto"/>
      </w:pPr>
    </w:p>
    <w:p w14:paraId="1B86E980" w14:textId="44417CB8" w:rsidR="0062181A" w:rsidRPr="003F75C1" w:rsidRDefault="0062181A" w:rsidP="0062181A">
      <w:pPr>
        <w:spacing w:line="360" w:lineRule="auto"/>
        <w:rPr>
          <w:rFonts w:ascii="CMR12" w:hAnsi="CMR12"/>
          <w:b/>
          <w:bCs/>
          <w:i/>
          <w:iCs/>
        </w:rPr>
      </w:pPr>
      <w:r w:rsidRPr="003F75C1">
        <w:rPr>
          <w:rFonts w:ascii="CMR12" w:hAnsi="CMR12"/>
          <w:b/>
          <w:bCs/>
          <w:i/>
          <w:iCs/>
        </w:rPr>
        <w:t>Results:</w:t>
      </w:r>
    </w:p>
    <w:p w14:paraId="20AACB5C" w14:textId="03237A33" w:rsidR="00BC08D0" w:rsidRPr="0062181A" w:rsidRDefault="00BC08D0" w:rsidP="008E16EE">
      <w:pPr>
        <w:pStyle w:val="ListParagraph"/>
        <w:numPr>
          <w:ilvl w:val="0"/>
          <w:numId w:val="27"/>
        </w:numPr>
        <w:spacing w:line="360" w:lineRule="auto"/>
      </w:pPr>
      <w:r w:rsidRPr="0062181A">
        <w:t xml:space="preserve">Correlations between social anxiety, depression and </w:t>
      </w:r>
      <w:r w:rsidRPr="0062181A">
        <w:rPr>
          <w:b/>
          <w:bCs/>
        </w:rPr>
        <w:t>endorsement</w:t>
      </w:r>
      <w:r w:rsidRPr="0062181A">
        <w:t xml:space="preserve"> in each category</w:t>
      </w:r>
      <w:r w:rsidR="008E16EE" w:rsidRPr="0062181A">
        <w:t>:</w:t>
      </w:r>
    </w:p>
    <w:tbl>
      <w:tblPr>
        <w:tblStyle w:val="TableGrid"/>
        <w:tblpPr w:leftFromText="180" w:rightFromText="180" w:vertAnchor="text" w:horzAnchor="margin" w:tblpY="163"/>
        <w:tblW w:w="9916" w:type="dxa"/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276"/>
        <w:gridCol w:w="1134"/>
        <w:gridCol w:w="1275"/>
        <w:gridCol w:w="1275"/>
        <w:gridCol w:w="1275"/>
      </w:tblGrid>
      <w:tr w:rsidR="00BC08D0" w:rsidRPr="00E22532" w14:paraId="61BE13C1" w14:textId="28D0F663" w:rsidTr="00BC08D0">
        <w:tc>
          <w:tcPr>
            <w:tcW w:w="240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C378965" w14:textId="77777777" w:rsidR="00BC08D0" w:rsidRPr="00E22532" w:rsidRDefault="00BC08D0" w:rsidP="007F7B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99EB311" w14:textId="440AAA77" w:rsidR="00BC08D0" w:rsidRPr="00E22532" w:rsidRDefault="00BC08D0" w:rsidP="007F7B5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High Affiliative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848890B" w14:textId="07E5B9A7" w:rsidR="00BC08D0" w:rsidRPr="00E22532" w:rsidRDefault="00BC08D0" w:rsidP="007F7B5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High</w:t>
            </w:r>
            <w:r>
              <w:rPr>
                <w:sz w:val="20"/>
                <w:szCs w:val="20"/>
              </w:rPr>
              <w:br/>
              <w:t>Dominance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5112764" w14:textId="0C70D0B5" w:rsidR="00BC08D0" w:rsidRPr="00E22532" w:rsidRDefault="00BC08D0" w:rsidP="007F7B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 Affiliative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E21140D" w14:textId="4F1BB78C" w:rsidR="00BC08D0" w:rsidRPr="00E22532" w:rsidRDefault="00BC08D0" w:rsidP="007F7B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 Dominance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388F5C0" w14:textId="52FC2AC8" w:rsidR="00BC08D0" w:rsidRDefault="00BC08D0" w:rsidP="007F7B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Affiliative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848B305" w14:textId="4C941C75" w:rsidR="00BC08D0" w:rsidRDefault="00BC08D0" w:rsidP="007F7B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Dominance</w:t>
            </w:r>
          </w:p>
        </w:tc>
      </w:tr>
      <w:tr w:rsidR="00BC08D0" w:rsidRPr="00E22532" w14:paraId="1A9590CB" w14:textId="4808B2CA" w:rsidTr="00BC08D0">
        <w:tc>
          <w:tcPr>
            <w:tcW w:w="2405" w:type="dxa"/>
          </w:tcPr>
          <w:p w14:paraId="5408CC1F" w14:textId="32D2906C" w:rsidR="00BC08D0" w:rsidRPr="0036257F" w:rsidRDefault="00BC08D0" w:rsidP="007F7B5E">
            <w:pPr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276" w:type="dxa"/>
          </w:tcPr>
          <w:p w14:paraId="708BA883" w14:textId="4C794535" w:rsidR="00BC08D0" w:rsidRPr="00035D7E" w:rsidRDefault="00BC08D0" w:rsidP="00BC08D0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-.045</w:t>
            </w:r>
          </w:p>
        </w:tc>
        <w:tc>
          <w:tcPr>
            <w:tcW w:w="1276" w:type="dxa"/>
          </w:tcPr>
          <w:p w14:paraId="38CC8EF8" w14:textId="1727C091" w:rsidR="00BC08D0" w:rsidRPr="00035D7E" w:rsidRDefault="00BC08D0" w:rsidP="00BC08D0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-.527**</w:t>
            </w:r>
          </w:p>
        </w:tc>
        <w:tc>
          <w:tcPr>
            <w:tcW w:w="1134" w:type="dxa"/>
          </w:tcPr>
          <w:p w14:paraId="3F007315" w14:textId="61634358" w:rsidR="00BC08D0" w:rsidRPr="00035D7E" w:rsidRDefault="00BC08D0" w:rsidP="00BC08D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.281**</w:t>
            </w:r>
          </w:p>
        </w:tc>
        <w:tc>
          <w:tcPr>
            <w:tcW w:w="1275" w:type="dxa"/>
          </w:tcPr>
          <w:p w14:paraId="0F4BCC8A" w14:textId="3CD5C8FA" w:rsidR="00BC08D0" w:rsidRPr="00035D7E" w:rsidRDefault="00BC08D0" w:rsidP="00BC08D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.322**</w:t>
            </w:r>
          </w:p>
        </w:tc>
        <w:tc>
          <w:tcPr>
            <w:tcW w:w="1275" w:type="dxa"/>
          </w:tcPr>
          <w:p w14:paraId="10BFBF69" w14:textId="1DC3740C" w:rsidR="00BC08D0" w:rsidRDefault="00BC08D0" w:rsidP="00BC08D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.274**</w:t>
            </w:r>
          </w:p>
        </w:tc>
        <w:tc>
          <w:tcPr>
            <w:tcW w:w="1275" w:type="dxa"/>
          </w:tcPr>
          <w:p w14:paraId="271ED253" w14:textId="40FDF8F1" w:rsidR="00BC08D0" w:rsidRDefault="00BC08D0" w:rsidP="00BC08D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-.450**</w:t>
            </w:r>
          </w:p>
        </w:tc>
      </w:tr>
      <w:tr w:rsidR="00BC08D0" w:rsidRPr="00E22532" w14:paraId="7A2260AB" w14:textId="64776FF3" w:rsidTr="00BC08D0">
        <w:tc>
          <w:tcPr>
            <w:tcW w:w="2405" w:type="dxa"/>
          </w:tcPr>
          <w:p w14:paraId="76E08745" w14:textId="568FD05E" w:rsidR="00BC08D0" w:rsidRPr="00035D7E" w:rsidRDefault="00BC08D0" w:rsidP="007F7B5E">
            <w:pPr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BDI</w:t>
            </w:r>
          </w:p>
        </w:tc>
        <w:tc>
          <w:tcPr>
            <w:tcW w:w="1276" w:type="dxa"/>
          </w:tcPr>
          <w:p w14:paraId="1EB265DE" w14:textId="78CB4379" w:rsidR="00BC08D0" w:rsidRPr="00035D7E" w:rsidRDefault="00BC08D0" w:rsidP="00BC08D0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-.123</w:t>
            </w:r>
          </w:p>
        </w:tc>
        <w:tc>
          <w:tcPr>
            <w:tcW w:w="1276" w:type="dxa"/>
          </w:tcPr>
          <w:p w14:paraId="3CFABC9B" w14:textId="1D3E0A60" w:rsidR="00BC08D0" w:rsidRPr="00035D7E" w:rsidRDefault="00BC08D0" w:rsidP="00BC08D0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-.257*</w:t>
            </w:r>
          </w:p>
        </w:tc>
        <w:tc>
          <w:tcPr>
            <w:tcW w:w="1134" w:type="dxa"/>
          </w:tcPr>
          <w:p w14:paraId="19A97A3D" w14:textId="769DA246" w:rsidR="00BC08D0" w:rsidRPr="00035D7E" w:rsidRDefault="00BC08D0" w:rsidP="00BC08D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.326**</w:t>
            </w:r>
          </w:p>
        </w:tc>
        <w:tc>
          <w:tcPr>
            <w:tcW w:w="1275" w:type="dxa"/>
          </w:tcPr>
          <w:p w14:paraId="15C33C5F" w14:textId="1C21ABDA" w:rsidR="00BC08D0" w:rsidRPr="00035D7E" w:rsidRDefault="00BC08D0" w:rsidP="00BC08D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.355**</w:t>
            </w:r>
          </w:p>
        </w:tc>
        <w:tc>
          <w:tcPr>
            <w:tcW w:w="1275" w:type="dxa"/>
          </w:tcPr>
          <w:p w14:paraId="550EA726" w14:textId="63A92057" w:rsidR="00BC08D0" w:rsidRPr="00035D7E" w:rsidRDefault="00BC08D0" w:rsidP="00BC08D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.297**</w:t>
            </w:r>
          </w:p>
        </w:tc>
        <w:tc>
          <w:tcPr>
            <w:tcW w:w="1275" w:type="dxa"/>
          </w:tcPr>
          <w:p w14:paraId="2E2F4FE5" w14:textId="227FE34C" w:rsidR="00BC08D0" w:rsidRPr="00035D7E" w:rsidRDefault="00BC08D0" w:rsidP="00BC08D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-.145</w:t>
            </w:r>
          </w:p>
        </w:tc>
      </w:tr>
      <w:tr w:rsidR="00BC08D0" w:rsidRPr="00E22532" w14:paraId="6F806531" w14:textId="6818DE07" w:rsidTr="00BC08D0">
        <w:tc>
          <w:tcPr>
            <w:tcW w:w="2405" w:type="dxa"/>
            <w:tcBorders>
              <w:bottom w:val="single" w:sz="4" w:space="0" w:color="auto"/>
            </w:tcBorders>
          </w:tcPr>
          <w:p w14:paraId="13E38293" w14:textId="39212953" w:rsidR="00BC08D0" w:rsidRPr="00035D7E" w:rsidRDefault="00BC08D0" w:rsidP="007F7B5E">
            <w:pPr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SAD (Controlling BDI)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A14FE06" w14:textId="52988310" w:rsidR="00BC08D0" w:rsidRPr="00035D7E" w:rsidRDefault="00BC08D0" w:rsidP="00BC08D0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.021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261DDA2" w14:textId="1F21DA9E" w:rsidR="00BC08D0" w:rsidRPr="00035D7E" w:rsidRDefault="00BC08D0" w:rsidP="00BC08D0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-.477**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22DFD84" w14:textId="29E17C73" w:rsidR="00BC08D0" w:rsidRPr="00035D7E" w:rsidRDefault="00BC08D0" w:rsidP="00BC08D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.141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963B68C" w14:textId="30FE5FC3" w:rsidR="00BC08D0" w:rsidRPr="00035D7E" w:rsidRDefault="00BC08D0" w:rsidP="00BC08D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.175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0AAA95" w14:textId="764BB854" w:rsidR="00BC08D0" w:rsidRPr="00035D7E" w:rsidRDefault="00BC08D0" w:rsidP="00BC08D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.149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D3EC928" w14:textId="29825A39" w:rsidR="00BC08D0" w:rsidRPr="00035D7E" w:rsidRDefault="00BC08D0" w:rsidP="00BC08D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-.442**</w:t>
            </w:r>
          </w:p>
        </w:tc>
      </w:tr>
      <w:tr w:rsidR="00BC08D0" w:rsidRPr="00E22532" w14:paraId="482B28D8" w14:textId="2CB7D1C2" w:rsidTr="00BC08D0">
        <w:tc>
          <w:tcPr>
            <w:tcW w:w="991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377AF3" w14:textId="77777777" w:rsidR="00BC08D0" w:rsidRDefault="00BC08D0" w:rsidP="00BC08D0">
            <w:pPr>
              <w:spacing w:line="360" w:lineRule="auto"/>
              <w:rPr>
                <w:sz w:val="16"/>
                <w:szCs w:val="16"/>
              </w:rPr>
            </w:pPr>
          </w:p>
          <w:p w14:paraId="6FC5AE8A" w14:textId="620960CE" w:rsidR="00BC08D0" w:rsidRDefault="00BC08D0" w:rsidP="00BC08D0">
            <w:pPr>
              <w:spacing w:line="360" w:lineRule="auto"/>
              <w:rPr>
                <w:sz w:val="16"/>
                <w:szCs w:val="16"/>
              </w:rPr>
            </w:pPr>
            <w:r w:rsidRPr="00BC08D0">
              <w:rPr>
                <w:sz w:val="16"/>
                <w:szCs w:val="16"/>
              </w:rPr>
              <w:t xml:space="preserve">*Correlation is significant at the 0.05 level </w:t>
            </w:r>
          </w:p>
          <w:p w14:paraId="70DF6269" w14:textId="7FCF6A64" w:rsidR="00BC08D0" w:rsidRPr="002D03BD" w:rsidRDefault="00BC08D0" w:rsidP="002D03BD">
            <w:pPr>
              <w:spacing w:line="360" w:lineRule="auto"/>
              <w:rPr>
                <w:sz w:val="16"/>
                <w:szCs w:val="16"/>
              </w:rPr>
            </w:pPr>
            <w:r w:rsidRPr="00BC08D0">
              <w:rPr>
                <w:sz w:val="16"/>
                <w:szCs w:val="16"/>
              </w:rPr>
              <w:t>**Correlation is significant at the 0.01 level</w:t>
            </w:r>
          </w:p>
        </w:tc>
      </w:tr>
    </w:tbl>
    <w:p w14:paraId="74C406D9" w14:textId="1F479B6F" w:rsidR="007B5ECD" w:rsidRDefault="007B5ECD" w:rsidP="00CA73A1">
      <w:pPr>
        <w:spacing w:line="360" w:lineRule="auto"/>
        <w:rPr>
          <w:sz w:val="20"/>
          <w:szCs w:val="20"/>
        </w:rPr>
      </w:pPr>
    </w:p>
    <w:p w14:paraId="1922BAAF" w14:textId="5EBEECB5" w:rsidR="007B5ECD" w:rsidRPr="0062181A" w:rsidRDefault="008E16EE" w:rsidP="008E16EE">
      <w:pPr>
        <w:pStyle w:val="ListParagraph"/>
        <w:numPr>
          <w:ilvl w:val="0"/>
          <w:numId w:val="27"/>
        </w:numPr>
        <w:spacing w:line="360" w:lineRule="auto"/>
      </w:pPr>
      <w:r w:rsidRPr="0062181A">
        <w:t xml:space="preserve">Correlations between social anxiety, depression and </w:t>
      </w:r>
      <w:r w:rsidRPr="0062181A">
        <w:rPr>
          <w:b/>
          <w:bCs/>
        </w:rPr>
        <w:t>drift rates</w:t>
      </w:r>
      <w:r w:rsidRPr="0062181A">
        <w:t xml:space="preserve"> (</w:t>
      </w:r>
      <w:r w:rsidRPr="0062181A">
        <w:rPr>
          <w:b/>
          <w:bCs/>
        </w:rPr>
        <w:t>v</w:t>
      </w:r>
      <w:r w:rsidRPr="0062181A">
        <w:t>):</w:t>
      </w:r>
    </w:p>
    <w:p w14:paraId="5D8BC1E1" w14:textId="23465D6C" w:rsidR="008E16EE" w:rsidRDefault="008E16EE" w:rsidP="008E16EE">
      <w:pPr>
        <w:spacing w:line="360" w:lineRule="auto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63"/>
        <w:tblW w:w="9916" w:type="dxa"/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276"/>
        <w:gridCol w:w="1134"/>
        <w:gridCol w:w="1275"/>
        <w:gridCol w:w="2550"/>
      </w:tblGrid>
      <w:tr w:rsidR="0036257F" w:rsidRPr="00E22532" w14:paraId="23D08615" w14:textId="77777777" w:rsidTr="007F7B5E">
        <w:trPr>
          <w:gridAfter w:val="1"/>
          <w:wAfter w:w="2550" w:type="dxa"/>
        </w:trPr>
        <w:tc>
          <w:tcPr>
            <w:tcW w:w="240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28D6926" w14:textId="77777777" w:rsidR="0036257F" w:rsidRPr="00E22532" w:rsidRDefault="0036257F" w:rsidP="007F7B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607C6D3" w14:textId="77777777" w:rsidR="0036257F" w:rsidRPr="00E22532" w:rsidRDefault="0036257F" w:rsidP="007F7B5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High Affiliative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3635555" w14:textId="77777777" w:rsidR="0036257F" w:rsidRPr="00E22532" w:rsidRDefault="0036257F" w:rsidP="007F7B5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High</w:t>
            </w:r>
            <w:r>
              <w:rPr>
                <w:sz w:val="20"/>
                <w:szCs w:val="20"/>
              </w:rPr>
              <w:br/>
              <w:t>Dominance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4CD7F0F" w14:textId="77777777" w:rsidR="0036257F" w:rsidRPr="00E22532" w:rsidRDefault="0036257F" w:rsidP="007F7B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 Affiliative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A9052D7" w14:textId="77777777" w:rsidR="0036257F" w:rsidRPr="00E22532" w:rsidRDefault="0036257F" w:rsidP="007F7B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 Dominance</w:t>
            </w:r>
          </w:p>
        </w:tc>
      </w:tr>
      <w:tr w:rsidR="0036257F" w:rsidRPr="00E22532" w14:paraId="2F00448C" w14:textId="77777777" w:rsidTr="007F7B5E">
        <w:trPr>
          <w:gridAfter w:val="1"/>
          <w:wAfter w:w="2550" w:type="dxa"/>
        </w:trPr>
        <w:tc>
          <w:tcPr>
            <w:tcW w:w="2405" w:type="dxa"/>
          </w:tcPr>
          <w:p w14:paraId="11B4872F" w14:textId="77777777" w:rsidR="0036257F" w:rsidRPr="00035D7E" w:rsidRDefault="0036257F" w:rsidP="007F7B5E">
            <w:pPr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276" w:type="dxa"/>
          </w:tcPr>
          <w:p w14:paraId="55B2C85A" w14:textId="5BFF5298" w:rsidR="0036257F" w:rsidRPr="00035D7E" w:rsidRDefault="0036257F" w:rsidP="007F7B5E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-.021</w:t>
            </w:r>
          </w:p>
        </w:tc>
        <w:tc>
          <w:tcPr>
            <w:tcW w:w="1276" w:type="dxa"/>
          </w:tcPr>
          <w:p w14:paraId="46BCF9F7" w14:textId="73FFB36E" w:rsidR="0036257F" w:rsidRPr="00035D7E" w:rsidRDefault="0036257F" w:rsidP="007F7B5E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-.502**</w:t>
            </w:r>
          </w:p>
        </w:tc>
        <w:tc>
          <w:tcPr>
            <w:tcW w:w="1134" w:type="dxa"/>
          </w:tcPr>
          <w:p w14:paraId="5ACE4754" w14:textId="1D8A673F" w:rsidR="0036257F" w:rsidRPr="0036257F" w:rsidRDefault="0036257F" w:rsidP="007F7B5E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.299**</w:t>
            </w:r>
          </w:p>
        </w:tc>
        <w:tc>
          <w:tcPr>
            <w:tcW w:w="1275" w:type="dxa"/>
          </w:tcPr>
          <w:p w14:paraId="3693501C" w14:textId="0501C9F0" w:rsidR="0036257F" w:rsidRPr="0036257F" w:rsidRDefault="0036257F" w:rsidP="007F7B5E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.200*</w:t>
            </w:r>
          </w:p>
        </w:tc>
      </w:tr>
      <w:tr w:rsidR="0036257F" w:rsidRPr="00E22532" w14:paraId="1F7B9542" w14:textId="77777777" w:rsidTr="007F7B5E">
        <w:trPr>
          <w:gridAfter w:val="1"/>
          <w:wAfter w:w="2550" w:type="dxa"/>
        </w:trPr>
        <w:tc>
          <w:tcPr>
            <w:tcW w:w="2405" w:type="dxa"/>
          </w:tcPr>
          <w:p w14:paraId="38526A34" w14:textId="77777777" w:rsidR="0036257F" w:rsidRPr="00035D7E" w:rsidRDefault="0036257F" w:rsidP="007F7B5E">
            <w:pPr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BDI</w:t>
            </w:r>
          </w:p>
        </w:tc>
        <w:tc>
          <w:tcPr>
            <w:tcW w:w="1276" w:type="dxa"/>
          </w:tcPr>
          <w:p w14:paraId="4CC12156" w14:textId="368A8B20" w:rsidR="0036257F" w:rsidRPr="00035D7E" w:rsidRDefault="0036257F" w:rsidP="007F7B5E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-.007</w:t>
            </w:r>
          </w:p>
        </w:tc>
        <w:tc>
          <w:tcPr>
            <w:tcW w:w="1276" w:type="dxa"/>
          </w:tcPr>
          <w:p w14:paraId="2828AEEB" w14:textId="4BB96E87" w:rsidR="0036257F" w:rsidRPr="00035D7E" w:rsidRDefault="0036257F" w:rsidP="007F7B5E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-.326**</w:t>
            </w:r>
          </w:p>
        </w:tc>
        <w:tc>
          <w:tcPr>
            <w:tcW w:w="1134" w:type="dxa"/>
          </w:tcPr>
          <w:p w14:paraId="3BCB3C92" w14:textId="71E9F57B" w:rsidR="0036257F" w:rsidRPr="0036257F" w:rsidRDefault="0036257F" w:rsidP="007F7B5E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.261**</w:t>
            </w:r>
          </w:p>
        </w:tc>
        <w:tc>
          <w:tcPr>
            <w:tcW w:w="1275" w:type="dxa"/>
          </w:tcPr>
          <w:p w14:paraId="7EDF86A6" w14:textId="590A8E4B" w:rsidR="0036257F" w:rsidRPr="0036257F" w:rsidRDefault="0036257F" w:rsidP="007F7B5E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.196</w:t>
            </w:r>
          </w:p>
        </w:tc>
      </w:tr>
      <w:tr w:rsidR="0036257F" w:rsidRPr="00E22532" w14:paraId="76B3E4C3" w14:textId="77777777" w:rsidTr="007F7B5E">
        <w:trPr>
          <w:gridAfter w:val="1"/>
          <w:wAfter w:w="2550" w:type="dxa"/>
        </w:trPr>
        <w:tc>
          <w:tcPr>
            <w:tcW w:w="2405" w:type="dxa"/>
            <w:tcBorders>
              <w:bottom w:val="single" w:sz="4" w:space="0" w:color="auto"/>
            </w:tcBorders>
          </w:tcPr>
          <w:p w14:paraId="6319D72C" w14:textId="77777777" w:rsidR="0036257F" w:rsidRPr="00035D7E" w:rsidRDefault="0036257F" w:rsidP="007F7B5E">
            <w:pPr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SAD (Controlling BDI)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16096C9" w14:textId="0446848E" w:rsidR="0036257F" w:rsidRPr="00035D7E" w:rsidRDefault="0036257F" w:rsidP="007F7B5E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-.021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859B20" w14:textId="4D388F45" w:rsidR="0036257F" w:rsidRPr="00035D7E" w:rsidRDefault="00B115FF" w:rsidP="007F7B5E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-.413**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D9CE914" w14:textId="62FFB956" w:rsidR="0036257F" w:rsidRPr="00B115FF" w:rsidRDefault="00B115FF" w:rsidP="007F7B5E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.200*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7A65E90" w14:textId="1D8CCEAA" w:rsidR="0036257F" w:rsidRPr="00B115FF" w:rsidRDefault="00B115FF" w:rsidP="007F7B5E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.119</w:t>
            </w:r>
          </w:p>
        </w:tc>
      </w:tr>
      <w:tr w:rsidR="002D03BD" w:rsidRPr="00E22532" w14:paraId="58A2FCF7" w14:textId="77777777" w:rsidTr="0036257F">
        <w:tc>
          <w:tcPr>
            <w:tcW w:w="991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E5BF164" w14:textId="77777777" w:rsidR="002D03BD" w:rsidRDefault="002D03BD" w:rsidP="007F7B5E">
            <w:pPr>
              <w:spacing w:line="360" w:lineRule="auto"/>
              <w:rPr>
                <w:sz w:val="16"/>
                <w:szCs w:val="16"/>
              </w:rPr>
            </w:pPr>
          </w:p>
          <w:p w14:paraId="5848808A" w14:textId="77777777" w:rsidR="002D03BD" w:rsidRDefault="002D03BD" w:rsidP="007F7B5E">
            <w:pPr>
              <w:spacing w:line="360" w:lineRule="auto"/>
              <w:rPr>
                <w:sz w:val="16"/>
                <w:szCs w:val="16"/>
              </w:rPr>
            </w:pPr>
            <w:r w:rsidRPr="00BC08D0">
              <w:rPr>
                <w:sz w:val="16"/>
                <w:szCs w:val="16"/>
              </w:rPr>
              <w:t xml:space="preserve">*Correlation is significant at the 0.05 level </w:t>
            </w:r>
          </w:p>
          <w:p w14:paraId="47CB2DA5" w14:textId="74D51957" w:rsidR="002D03BD" w:rsidRPr="002D03BD" w:rsidRDefault="002D03BD" w:rsidP="002D03BD">
            <w:pPr>
              <w:spacing w:line="360" w:lineRule="auto"/>
              <w:rPr>
                <w:sz w:val="16"/>
                <w:szCs w:val="16"/>
              </w:rPr>
            </w:pPr>
            <w:r w:rsidRPr="00BC08D0">
              <w:rPr>
                <w:sz w:val="16"/>
                <w:szCs w:val="16"/>
              </w:rPr>
              <w:lastRenderedPageBreak/>
              <w:t>**Correlation is significant at the 0.01 level</w:t>
            </w:r>
          </w:p>
        </w:tc>
      </w:tr>
    </w:tbl>
    <w:p w14:paraId="6B2B3662" w14:textId="73D24975" w:rsidR="0062181A" w:rsidRDefault="0062181A" w:rsidP="008E16EE">
      <w:pPr>
        <w:spacing w:line="360" w:lineRule="auto"/>
        <w:rPr>
          <w:sz w:val="20"/>
          <w:szCs w:val="20"/>
        </w:rPr>
      </w:pPr>
    </w:p>
    <w:p w14:paraId="6558F115" w14:textId="20259BE8" w:rsidR="0062181A" w:rsidRDefault="0062181A" w:rsidP="008E16EE">
      <w:pPr>
        <w:spacing w:line="360" w:lineRule="auto"/>
        <w:rPr>
          <w:sz w:val="20"/>
          <w:szCs w:val="20"/>
        </w:rPr>
      </w:pPr>
    </w:p>
    <w:p w14:paraId="5DDACE9F" w14:textId="7C4BEE5A" w:rsidR="0062181A" w:rsidRDefault="0062181A" w:rsidP="008E16EE">
      <w:pPr>
        <w:spacing w:line="360" w:lineRule="auto"/>
        <w:rPr>
          <w:sz w:val="20"/>
          <w:szCs w:val="20"/>
        </w:rPr>
      </w:pPr>
    </w:p>
    <w:p w14:paraId="0803DD52" w14:textId="174E588D" w:rsidR="000F43C4" w:rsidRDefault="000F43C4" w:rsidP="008E16EE">
      <w:pPr>
        <w:spacing w:line="360" w:lineRule="auto"/>
        <w:rPr>
          <w:sz w:val="20"/>
          <w:szCs w:val="20"/>
        </w:rPr>
      </w:pPr>
    </w:p>
    <w:p w14:paraId="33A7D0D2" w14:textId="77777777" w:rsidR="000F43C4" w:rsidRPr="008E16EE" w:rsidRDefault="000F43C4" w:rsidP="008E16EE">
      <w:pPr>
        <w:spacing w:line="360" w:lineRule="auto"/>
        <w:rPr>
          <w:sz w:val="20"/>
          <w:szCs w:val="20"/>
        </w:rPr>
      </w:pPr>
    </w:p>
    <w:p w14:paraId="23FDA01F" w14:textId="76A9DFC8" w:rsidR="008E16EE" w:rsidRPr="0062181A" w:rsidRDefault="008E16EE" w:rsidP="008E16EE">
      <w:pPr>
        <w:pStyle w:val="ListParagraph"/>
        <w:numPr>
          <w:ilvl w:val="0"/>
          <w:numId w:val="27"/>
        </w:numPr>
        <w:spacing w:line="360" w:lineRule="auto"/>
      </w:pPr>
      <w:r w:rsidRPr="0062181A">
        <w:t xml:space="preserve">Correlations between social anxiety, depression and </w:t>
      </w:r>
      <w:r w:rsidR="0062181A">
        <w:rPr>
          <w:b/>
          <w:bCs/>
        </w:rPr>
        <w:t>d</w:t>
      </w:r>
      <w:r w:rsidRPr="0062181A">
        <w:rPr>
          <w:b/>
          <w:bCs/>
        </w:rPr>
        <w:t>’</w:t>
      </w:r>
      <w:r w:rsidRPr="0062181A">
        <w:t>:</w:t>
      </w:r>
    </w:p>
    <w:tbl>
      <w:tblPr>
        <w:tblStyle w:val="TableGrid"/>
        <w:tblpPr w:leftFromText="180" w:rightFromText="180" w:vertAnchor="text" w:horzAnchor="margin" w:tblpY="163"/>
        <w:tblW w:w="7400" w:type="dxa"/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276"/>
        <w:gridCol w:w="1134"/>
        <w:gridCol w:w="1275"/>
        <w:gridCol w:w="34"/>
      </w:tblGrid>
      <w:tr w:rsidR="008E16EE" w:rsidRPr="00E22532" w14:paraId="61324D3A" w14:textId="77777777" w:rsidTr="008E16EE">
        <w:trPr>
          <w:gridAfter w:val="1"/>
          <w:wAfter w:w="34" w:type="dxa"/>
        </w:trPr>
        <w:tc>
          <w:tcPr>
            <w:tcW w:w="240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BD662D8" w14:textId="77777777" w:rsidR="008E16EE" w:rsidRPr="00E22532" w:rsidRDefault="008E16EE" w:rsidP="008E16E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A9AF55F" w14:textId="478122F9" w:rsidR="008E16EE" w:rsidRPr="00E22532" w:rsidRDefault="0062181A" w:rsidP="008E16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</w:t>
            </w:r>
            <w:r w:rsidR="008E16EE">
              <w:rPr>
                <w:sz w:val="20"/>
                <w:szCs w:val="20"/>
              </w:rPr>
              <w:t xml:space="preserve">’ </w:t>
            </w:r>
            <w:r w:rsidR="008E16EE">
              <w:rPr>
                <w:sz w:val="20"/>
                <w:szCs w:val="20"/>
              </w:rPr>
              <w:br/>
              <w:t>Positive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5C435EC" w14:textId="46C06CA5" w:rsidR="008E16EE" w:rsidRPr="00E22532" w:rsidRDefault="0062181A" w:rsidP="008E16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</w:t>
            </w:r>
            <w:r w:rsidR="008E16EE">
              <w:rPr>
                <w:sz w:val="20"/>
                <w:szCs w:val="20"/>
              </w:rPr>
              <w:t xml:space="preserve">’ </w:t>
            </w:r>
            <w:r w:rsidR="008E16EE">
              <w:rPr>
                <w:sz w:val="20"/>
                <w:szCs w:val="20"/>
              </w:rPr>
              <w:br/>
              <w:t>Negative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355749A" w14:textId="245E73CC" w:rsidR="008E16EE" w:rsidRPr="00E22532" w:rsidRDefault="0062181A" w:rsidP="008E1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</w:t>
            </w:r>
            <w:r w:rsidR="008E16EE">
              <w:rPr>
                <w:sz w:val="20"/>
                <w:szCs w:val="20"/>
              </w:rPr>
              <w:t xml:space="preserve">’ </w:t>
            </w:r>
            <w:r w:rsidR="008E16EE">
              <w:rPr>
                <w:sz w:val="20"/>
                <w:szCs w:val="20"/>
              </w:rPr>
              <w:br/>
              <w:t>Affiliation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06717ED" w14:textId="0169EBA5" w:rsidR="008E16EE" w:rsidRPr="00E22532" w:rsidRDefault="0062181A" w:rsidP="008E1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</w:t>
            </w:r>
            <w:r w:rsidR="008E16EE">
              <w:rPr>
                <w:sz w:val="20"/>
                <w:szCs w:val="20"/>
              </w:rPr>
              <w:t xml:space="preserve">’ </w:t>
            </w:r>
            <w:r w:rsidR="008E16EE">
              <w:rPr>
                <w:sz w:val="20"/>
                <w:szCs w:val="20"/>
              </w:rPr>
              <w:br/>
              <w:t>Dominance</w:t>
            </w:r>
          </w:p>
        </w:tc>
      </w:tr>
      <w:tr w:rsidR="008E16EE" w:rsidRPr="00E22532" w14:paraId="6EAD3236" w14:textId="77777777" w:rsidTr="008E16EE">
        <w:trPr>
          <w:gridAfter w:val="1"/>
          <w:wAfter w:w="34" w:type="dxa"/>
        </w:trPr>
        <w:tc>
          <w:tcPr>
            <w:tcW w:w="2405" w:type="dxa"/>
          </w:tcPr>
          <w:p w14:paraId="61C98EEC" w14:textId="77777777" w:rsidR="008E16EE" w:rsidRPr="00035D7E" w:rsidRDefault="008E16EE" w:rsidP="008E16EE">
            <w:pPr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276" w:type="dxa"/>
          </w:tcPr>
          <w:p w14:paraId="0C7CE04F" w14:textId="359DA3D8" w:rsidR="008E16EE" w:rsidRPr="00035D7E" w:rsidRDefault="008E16EE" w:rsidP="008E16EE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-.120</w:t>
            </w:r>
          </w:p>
        </w:tc>
        <w:tc>
          <w:tcPr>
            <w:tcW w:w="1276" w:type="dxa"/>
          </w:tcPr>
          <w:p w14:paraId="2DB5F1BF" w14:textId="29CCC32E" w:rsidR="008E16EE" w:rsidRPr="00035D7E" w:rsidRDefault="008E16EE" w:rsidP="008E16EE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.054</w:t>
            </w:r>
          </w:p>
        </w:tc>
        <w:tc>
          <w:tcPr>
            <w:tcW w:w="1134" w:type="dxa"/>
          </w:tcPr>
          <w:p w14:paraId="3807E4F5" w14:textId="49FF0F2E" w:rsidR="008E16EE" w:rsidRPr="00035D7E" w:rsidRDefault="008E16EE" w:rsidP="008E16EE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-.112</w:t>
            </w:r>
          </w:p>
        </w:tc>
        <w:tc>
          <w:tcPr>
            <w:tcW w:w="1275" w:type="dxa"/>
          </w:tcPr>
          <w:p w14:paraId="21E76A2A" w14:textId="4E1D8F7E" w:rsidR="008E16EE" w:rsidRPr="00035D7E" w:rsidRDefault="008E16EE" w:rsidP="008E16EE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-.248*</w:t>
            </w:r>
          </w:p>
        </w:tc>
      </w:tr>
      <w:tr w:rsidR="008E16EE" w:rsidRPr="00E22532" w14:paraId="01EA9C47" w14:textId="77777777" w:rsidTr="008E16EE">
        <w:trPr>
          <w:gridAfter w:val="1"/>
          <w:wAfter w:w="34" w:type="dxa"/>
        </w:trPr>
        <w:tc>
          <w:tcPr>
            <w:tcW w:w="2405" w:type="dxa"/>
          </w:tcPr>
          <w:p w14:paraId="056C463F" w14:textId="77777777" w:rsidR="008E16EE" w:rsidRPr="00035D7E" w:rsidRDefault="008E16EE" w:rsidP="008E16EE">
            <w:pPr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BDI</w:t>
            </w:r>
          </w:p>
        </w:tc>
        <w:tc>
          <w:tcPr>
            <w:tcW w:w="1276" w:type="dxa"/>
          </w:tcPr>
          <w:p w14:paraId="25CF7F7C" w14:textId="7980D2C7" w:rsidR="008E16EE" w:rsidRPr="00035D7E" w:rsidRDefault="008E16EE" w:rsidP="008E16EE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-.151</w:t>
            </w:r>
          </w:p>
        </w:tc>
        <w:tc>
          <w:tcPr>
            <w:tcW w:w="1276" w:type="dxa"/>
          </w:tcPr>
          <w:p w14:paraId="245A6C0D" w14:textId="7A17D6B0" w:rsidR="008E16EE" w:rsidRPr="00035D7E" w:rsidRDefault="008E16EE" w:rsidP="008E16EE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.021</w:t>
            </w:r>
          </w:p>
        </w:tc>
        <w:tc>
          <w:tcPr>
            <w:tcW w:w="1134" w:type="dxa"/>
          </w:tcPr>
          <w:p w14:paraId="3BEFE472" w14:textId="75D8FD1F" w:rsidR="008E16EE" w:rsidRPr="00035D7E" w:rsidRDefault="008E16EE" w:rsidP="008E16EE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-.034</w:t>
            </w:r>
          </w:p>
        </w:tc>
        <w:tc>
          <w:tcPr>
            <w:tcW w:w="1275" w:type="dxa"/>
          </w:tcPr>
          <w:p w14:paraId="7D1BCC51" w14:textId="00EBBD9F" w:rsidR="008E16EE" w:rsidRPr="00035D7E" w:rsidRDefault="008E16EE" w:rsidP="008E16EE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-.148</w:t>
            </w:r>
          </w:p>
        </w:tc>
      </w:tr>
      <w:tr w:rsidR="008E16EE" w:rsidRPr="00E22532" w14:paraId="6C3186E3" w14:textId="77777777" w:rsidTr="008E16EE">
        <w:trPr>
          <w:gridAfter w:val="1"/>
          <w:wAfter w:w="34" w:type="dxa"/>
        </w:trPr>
        <w:tc>
          <w:tcPr>
            <w:tcW w:w="2405" w:type="dxa"/>
            <w:tcBorders>
              <w:bottom w:val="single" w:sz="4" w:space="0" w:color="auto"/>
            </w:tcBorders>
          </w:tcPr>
          <w:p w14:paraId="207A134E" w14:textId="77777777" w:rsidR="008E16EE" w:rsidRPr="00035D7E" w:rsidRDefault="008E16EE" w:rsidP="008E16EE">
            <w:pPr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SAD (Controlling BDI)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436412" w14:textId="3BEBEE2B" w:rsidR="008E16EE" w:rsidRPr="00035D7E" w:rsidRDefault="008E16EE" w:rsidP="008E16EE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-.051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262AAA7" w14:textId="106A100D" w:rsidR="008E16EE" w:rsidRPr="00035D7E" w:rsidRDefault="008E16EE" w:rsidP="008E16EE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.051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E39B7A2" w14:textId="7AA2846F" w:rsidR="008E16EE" w:rsidRPr="00035D7E" w:rsidRDefault="008E16EE" w:rsidP="008E16EE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-.110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746C26F" w14:textId="174845A9" w:rsidR="008E16EE" w:rsidRPr="00035D7E" w:rsidRDefault="008E16EE" w:rsidP="008E16EE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-.202*</w:t>
            </w:r>
          </w:p>
        </w:tc>
      </w:tr>
      <w:tr w:rsidR="008E16EE" w:rsidRPr="00E22532" w14:paraId="61E243CA" w14:textId="454832F6" w:rsidTr="008E16EE">
        <w:tc>
          <w:tcPr>
            <w:tcW w:w="74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310930C" w14:textId="77777777" w:rsidR="008E16EE" w:rsidRDefault="008E16EE" w:rsidP="008E16EE">
            <w:pPr>
              <w:spacing w:line="360" w:lineRule="auto"/>
              <w:rPr>
                <w:sz w:val="16"/>
                <w:szCs w:val="16"/>
              </w:rPr>
            </w:pPr>
          </w:p>
          <w:p w14:paraId="6DE61271" w14:textId="77777777" w:rsidR="008E16EE" w:rsidRDefault="008E16EE" w:rsidP="008E16EE">
            <w:pPr>
              <w:spacing w:line="360" w:lineRule="auto"/>
              <w:rPr>
                <w:sz w:val="16"/>
                <w:szCs w:val="16"/>
              </w:rPr>
            </w:pPr>
            <w:r w:rsidRPr="00BC08D0">
              <w:rPr>
                <w:sz w:val="16"/>
                <w:szCs w:val="16"/>
              </w:rPr>
              <w:t xml:space="preserve">*Correlation is significant at the 0.05 level </w:t>
            </w:r>
          </w:p>
          <w:p w14:paraId="76818543" w14:textId="3521A896" w:rsidR="008E16EE" w:rsidRPr="008E16EE" w:rsidRDefault="008E16EE" w:rsidP="008E16EE">
            <w:pPr>
              <w:spacing w:line="360" w:lineRule="auto"/>
              <w:rPr>
                <w:sz w:val="16"/>
                <w:szCs w:val="16"/>
              </w:rPr>
            </w:pPr>
            <w:r w:rsidRPr="00BC08D0">
              <w:rPr>
                <w:sz w:val="16"/>
                <w:szCs w:val="16"/>
              </w:rPr>
              <w:t>**Correlation is significant at the 0.01 level</w:t>
            </w:r>
          </w:p>
        </w:tc>
      </w:tr>
    </w:tbl>
    <w:p w14:paraId="1A8F0598" w14:textId="77777777" w:rsidR="008E16EE" w:rsidRDefault="008E16EE" w:rsidP="008E16EE">
      <w:pPr>
        <w:pStyle w:val="ListParagraph"/>
        <w:spacing w:line="360" w:lineRule="auto"/>
        <w:rPr>
          <w:sz w:val="20"/>
          <w:szCs w:val="20"/>
        </w:rPr>
      </w:pPr>
    </w:p>
    <w:p w14:paraId="7CA68ABA" w14:textId="77777777" w:rsidR="008E16EE" w:rsidRDefault="008E16EE" w:rsidP="008E16EE">
      <w:pPr>
        <w:pStyle w:val="ListParagraph"/>
        <w:spacing w:line="360" w:lineRule="auto"/>
        <w:rPr>
          <w:sz w:val="20"/>
          <w:szCs w:val="20"/>
        </w:rPr>
      </w:pPr>
    </w:p>
    <w:p w14:paraId="4FF61AF4" w14:textId="77777777" w:rsidR="008E16EE" w:rsidRDefault="008E16EE" w:rsidP="008E16EE">
      <w:pPr>
        <w:pStyle w:val="ListParagraph"/>
        <w:spacing w:line="360" w:lineRule="auto"/>
        <w:rPr>
          <w:sz w:val="20"/>
          <w:szCs w:val="20"/>
        </w:rPr>
      </w:pPr>
    </w:p>
    <w:p w14:paraId="31CDC5C3" w14:textId="77777777" w:rsidR="008E16EE" w:rsidRDefault="008E16EE" w:rsidP="008E16EE">
      <w:pPr>
        <w:pStyle w:val="ListParagraph"/>
        <w:spacing w:line="360" w:lineRule="auto"/>
        <w:rPr>
          <w:sz w:val="20"/>
          <w:szCs w:val="20"/>
        </w:rPr>
      </w:pPr>
    </w:p>
    <w:p w14:paraId="354A9C58" w14:textId="77777777" w:rsidR="008E16EE" w:rsidRDefault="008E16EE" w:rsidP="008E16EE">
      <w:pPr>
        <w:pStyle w:val="ListParagraph"/>
        <w:spacing w:line="360" w:lineRule="auto"/>
        <w:rPr>
          <w:sz w:val="20"/>
          <w:szCs w:val="20"/>
        </w:rPr>
      </w:pPr>
    </w:p>
    <w:p w14:paraId="216FBB1B" w14:textId="77777777" w:rsidR="008E16EE" w:rsidRDefault="008E16EE" w:rsidP="008E16EE">
      <w:pPr>
        <w:pStyle w:val="ListParagraph"/>
        <w:spacing w:line="360" w:lineRule="auto"/>
        <w:rPr>
          <w:sz w:val="20"/>
          <w:szCs w:val="20"/>
        </w:rPr>
      </w:pPr>
    </w:p>
    <w:p w14:paraId="332FAB93" w14:textId="77777777" w:rsidR="008E16EE" w:rsidRDefault="008E16EE" w:rsidP="008E16EE">
      <w:pPr>
        <w:pStyle w:val="ListParagraph"/>
        <w:spacing w:line="360" w:lineRule="auto"/>
        <w:rPr>
          <w:sz w:val="20"/>
          <w:szCs w:val="20"/>
        </w:rPr>
      </w:pPr>
    </w:p>
    <w:p w14:paraId="0D7FF6BF" w14:textId="77777777" w:rsidR="005D1D3A" w:rsidRDefault="005D1D3A" w:rsidP="005D1D3A">
      <w:pPr>
        <w:pStyle w:val="ListParagraph"/>
        <w:spacing w:line="360" w:lineRule="auto"/>
        <w:rPr>
          <w:sz w:val="20"/>
          <w:szCs w:val="20"/>
        </w:rPr>
      </w:pPr>
    </w:p>
    <w:p w14:paraId="610286E8" w14:textId="630B50E0" w:rsidR="008E16EE" w:rsidRPr="0062181A" w:rsidRDefault="008E16EE" w:rsidP="008E16EE">
      <w:pPr>
        <w:pStyle w:val="ListParagraph"/>
        <w:numPr>
          <w:ilvl w:val="0"/>
          <w:numId w:val="27"/>
        </w:numPr>
        <w:spacing w:line="360" w:lineRule="auto"/>
      </w:pPr>
      <w:r w:rsidRPr="0062181A">
        <w:t xml:space="preserve">Correlation between social anxiety, depression and </w:t>
      </w:r>
      <w:r w:rsidR="0029298D" w:rsidRPr="0062181A">
        <w:rPr>
          <w:b/>
          <w:bCs/>
        </w:rPr>
        <w:t>β</w:t>
      </w:r>
      <w:r w:rsidRPr="0062181A">
        <w:t>:</w:t>
      </w:r>
    </w:p>
    <w:tbl>
      <w:tblPr>
        <w:tblStyle w:val="TableGrid"/>
        <w:tblpPr w:leftFromText="180" w:rightFromText="180" w:vertAnchor="text" w:horzAnchor="margin" w:tblpY="163"/>
        <w:tblW w:w="7400" w:type="dxa"/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276"/>
        <w:gridCol w:w="1134"/>
        <w:gridCol w:w="1275"/>
        <w:gridCol w:w="34"/>
      </w:tblGrid>
      <w:tr w:rsidR="008E16EE" w:rsidRPr="00E22532" w14:paraId="40A5C36C" w14:textId="77777777" w:rsidTr="007F7B5E">
        <w:trPr>
          <w:gridAfter w:val="1"/>
          <w:wAfter w:w="34" w:type="dxa"/>
        </w:trPr>
        <w:tc>
          <w:tcPr>
            <w:tcW w:w="240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3B88D06" w14:textId="77777777" w:rsidR="008E16EE" w:rsidRPr="00E22532" w:rsidRDefault="008E16EE" w:rsidP="007F7B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A06FA5F" w14:textId="4CD7B98D" w:rsidR="008E16EE" w:rsidRPr="00E22532" w:rsidRDefault="008E16EE" w:rsidP="007F7B5E">
            <w:pPr>
              <w:jc w:val="center"/>
              <w:rPr>
                <w:sz w:val="20"/>
                <w:szCs w:val="20"/>
                <w:lang w:val="en-US"/>
              </w:rPr>
            </w:pPr>
            <w:r w:rsidRPr="008E16EE">
              <w:rPr>
                <w:sz w:val="20"/>
                <w:szCs w:val="20"/>
              </w:rPr>
              <w:t>β</w:t>
            </w:r>
            <w:r>
              <w:rPr>
                <w:sz w:val="20"/>
                <w:szCs w:val="20"/>
              </w:rPr>
              <w:br/>
              <w:t>Positive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8BFC42A" w14:textId="43D06CB0" w:rsidR="008E16EE" w:rsidRPr="00E22532" w:rsidRDefault="008E16EE" w:rsidP="007F7B5E">
            <w:pPr>
              <w:jc w:val="center"/>
              <w:rPr>
                <w:sz w:val="20"/>
                <w:szCs w:val="20"/>
                <w:lang w:val="en-US"/>
              </w:rPr>
            </w:pPr>
            <w:r w:rsidRPr="008E16EE">
              <w:rPr>
                <w:sz w:val="20"/>
                <w:szCs w:val="20"/>
              </w:rPr>
              <w:t>β</w:t>
            </w:r>
            <w:r>
              <w:rPr>
                <w:sz w:val="20"/>
                <w:szCs w:val="20"/>
              </w:rPr>
              <w:br/>
              <w:t>Negative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FD534D6" w14:textId="298908A3" w:rsidR="008E16EE" w:rsidRPr="00E22532" w:rsidRDefault="008E16EE" w:rsidP="007F7B5E">
            <w:pPr>
              <w:jc w:val="center"/>
              <w:rPr>
                <w:sz w:val="20"/>
                <w:szCs w:val="20"/>
              </w:rPr>
            </w:pPr>
            <w:r w:rsidRPr="008E16EE">
              <w:rPr>
                <w:sz w:val="20"/>
                <w:szCs w:val="20"/>
              </w:rPr>
              <w:t>β</w:t>
            </w:r>
            <w:r>
              <w:rPr>
                <w:sz w:val="20"/>
                <w:szCs w:val="20"/>
              </w:rPr>
              <w:br/>
              <w:t>Affiliation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158A45A" w14:textId="6F63B260" w:rsidR="008E16EE" w:rsidRPr="00E22532" w:rsidRDefault="008E16EE" w:rsidP="007F7B5E">
            <w:pPr>
              <w:jc w:val="center"/>
              <w:rPr>
                <w:sz w:val="20"/>
                <w:szCs w:val="20"/>
              </w:rPr>
            </w:pPr>
            <w:r w:rsidRPr="008E16EE">
              <w:rPr>
                <w:sz w:val="20"/>
                <w:szCs w:val="20"/>
              </w:rPr>
              <w:t>β</w:t>
            </w:r>
            <w:r>
              <w:rPr>
                <w:sz w:val="20"/>
                <w:szCs w:val="20"/>
              </w:rPr>
              <w:br/>
              <w:t>Dominance</w:t>
            </w:r>
          </w:p>
        </w:tc>
      </w:tr>
      <w:tr w:rsidR="008E16EE" w:rsidRPr="00E22532" w14:paraId="4D942687" w14:textId="77777777" w:rsidTr="007F7B5E">
        <w:trPr>
          <w:gridAfter w:val="1"/>
          <w:wAfter w:w="34" w:type="dxa"/>
        </w:trPr>
        <w:tc>
          <w:tcPr>
            <w:tcW w:w="2405" w:type="dxa"/>
          </w:tcPr>
          <w:p w14:paraId="3246DEF4" w14:textId="77777777" w:rsidR="008E16EE" w:rsidRPr="00035D7E" w:rsidRDefault="008E16EE" w:rsidP="007F7B5E">
            <w:pPr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276" w:type="dxa"/>
          </w:tcPr>
          <w:p w14:paraId="63E3F7FA" w14:textId="793B9979" w:rsidR="008E16EE" w:rsidRPr="00035D7E" w:rsidRDefault="00521EA0" w:rsidP="007F7B5E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-.498**</w:t>
            </w:r>
          </w:p>
        </w:tc>
        <w:tc>
          <w:tcPr>
            <w:tcW w:w="1276" w:type="dxa"/>
          </w:tcPr>
          <w:p w14:paraId="3BAD1AA5" w14:textId="1571C7C1" w:rsidR="008E16EE" w:rsidRPr="00035D7E" w:rsidRDefault="00521EA0" w:rsidP="007F7B5E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-.072</w:t>
            </w:r>
          </w:p>
        </w:tc>
        <w:tc>
          <w:tcPr>
            <w:tcW w:w="1134" w:type="dxa"/>
          </w:tcPr>
          <w:p w14:paraId="7AE40A33" w14:textId="5B8C7B31" w:rsidR="008E16EE" w:rsidRPr="00035D7E" w:rsidRDefault="00521EA0" w:rsidP="007F7B5E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-.038</w:t>
            </w:r>
          </w:p>
        </w:tc>
        <w:tc>
          <w:tcPr>
            <w:tcW w:w="1275" w:type="dxa"/>
          </w:tcPr>
          <w:p w14:paraId="196833B3" w14:textId="46CBE2DB" w:rsidR="008E16EE" w:rsidRPr="00035D7E" w:rsidRDefault="00521EA0" w:rsidP="007F7B5E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-.270**</w:t>
            </w:r>
          </w:p>
        </w:tc>
      </w:tr>
      <w:tr w:rsidR="008E16EE" w:rsidRPr="00E22532" w14:paraId="6F5BBD4D" w14:textId="77777777" w:rsidTr="007F7B5E">
        <w:trPr>
          <w:gridAfter w:val="1"/>
          <w:wAfter w:w="34" w:type="dxa"/>
        </w:trPr>
        <w:tc>
          <w:tcPr>
            <w:tcW w:w="2405" w:type="dxa"/>
          </w:tcPr>
          <w:p w14:paraId="4796F457" w14:textId="77777777" w:rsidR="008E16EE" w:rsidRPr="00035D7E" w:rsidRDefault="008E16EE" w:rsidP="007F7B5E">
            <w:pPr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BDI</w:t>
            </w:r>
          </w:p>
        </w:tc>
        <w:tc>
          <w:tcPr>
            <w:tcW w:w="1276" w:type="dxa"/>
          </w:tcPr>
          <w:p w14:paraId="05288BA5" w14:textId="395AA603" w:rsidR="008E16EE" w:rsidRPr="00035D7E" w:rsidRDefault="00521EA0" w:rsidP="007F7B5E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-.312**</w:t>
            </w:r>
          </w:p>
        </w:tc>
        <w:tc>
          <w:tcPr>
            <w:tcW w:w="1276" w:type="dxa"/>
          </w:tcPr>
          <w:p w14:paraId="7F81EAD7" w14:textId="0FC91D9A" w:rsidR="008E16EE" w:rsidRPr="00035D7E" w:rsidRDefault="00521EA0" w:rsidP="007F7B5E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-.044</w:t>
            </w:r>
          </w:p>
        </w:tc>
        <w:tc>
          <w:tcPr>
            <w:tcW w:w="1134" w:type="dxa"/>
          </w:tcPr>
          <w:p w14:paraId="361B3942" w14:textId="5ECA43B2" w:rsidR="008E16EE" w:rsidRPr="00035D7E" w:rsidRDefault="00521EA0" w:rsidP="007F7B5E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.047</w:t>
            </w:r>
          </w:p>
        </w:tc>
        <w:tc>
          <w:tcPr>
            <w:tcW w:w="1275" w:type="dxa"/>
          </w:tcPr>
          <w:p w14:paraId="4D707C42" w14:textId="6EBA0154" w:rsidR="008E16EE" w:rsidRPr="00035D7E" w:rsidRDefault="00521EA0" w:rsidP="007F7B5E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-.219*</w:t>
            </w:r>
          </w:p>
        </w:tc>
      </w:tr>
      <w:tr w:rsidR="008E16EE" w:rsidRPr="00E22532" w14:paraId="41700B3B" w14:textId="77777777" w:rsidTr="007F7B5E">
        <w:trPr>
          <w:gridAfter w:val="1"/>
          <w:wAfter w:w="34" w:type="dxa"/>
        </w:trPr>
        <w:tc>
          <w:tcPr>
            <w:tcW w:w="2405" w:type="dxa"/>
            <w:tcBorders>
              <w:bottom w:val="single" w:sz="4" w:space="0" w:color="auto"/>
            </w:tcBorders>
          </w:tcPr>
          <w:p w14:paraId="2D7A1E32" w14:textId="77777777" w:rsidR="008E16EE" w:rsidRPr="00035D7E" w:rsidRDefault="008E16EE" w:rsidP="007F7B5E">
            <w:pPr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SAD (Controlling BDI)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0E53B4E" w14:textId="0445622A" w:rsidR="008E16EE" w:rsidRPr="00035D7E" w:rsidRDefault="00521EA0" w:rsidP="007F7B5E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-.415**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2102B1" w14:textId="5A80515F" w:rsidR="008E16EE" w:rsidRPr="00035D7E" w:rsidRDefault="00521EA0" w:rsidP="007F7B5E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-.058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E711498" w14:textId="3A8E0FAE" w:rsidR="008E16EE" w:rsidRPr="00035D7E" w:rsidRDefault="00521EA0" w:rsidP="007F7B5E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-.072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32FF251" w14:textId="35D37F59" w:rsidR="008E16EE" w:rsidRPr="00035D7E" w:rsidRDefault="00521EA0" w:rsidP="007F7B5E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-.189</w:t>
            </w:r>
          </w:p>
        </w:tc>
      </w:tr>
      <w:tr w:rsidR="008E16EE" w:rsidRPr="00E22532" w14:paraId="6AD06168" w14:textId="77777777" w:rsidTr="007F7B5E">
        <w:tc>
          <w:tcPr>
            <w:tcW w:w="74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26BAF4D" w14:textId="77777777" w:rsidR="008E16EE" w:rsidRDefault="008E16EE" w:rsidP="007F7B5E">
            <w:pPr>
              <w:spacing w:line="360" w:lineRule="auto"/>
              <w:rPr>
                <w:sz w:val="16"/>
                <w:szCs w:val="16"/>
              </w:rPr>
            </w:pPr>
          </w:p>
          <w:p w14:paraId="7830E0C8" w14:textId="77777777" w:rsidR="008E16EE" w:rsidRDefault="008E16EE" w:rsidP="007F7B5E">
            <w:pPr>
              <w:spacing w:line="360" w:lineRule="auto"/>
              <w:rPr>
                <w:sz w:val="16"/>
                <w:szCs w:val="16"/>
              </w:rPr>
            </w:pPr>
            <w:r w:rsidRPr="00BC08D0">
              <w:rPr>
                <w:sz w:val="16"/>
                <w:szCs w:val="16"/>
              </w:rPr>
              <w:t xml:space="preserve">*Correlation is significant at the 0.05 level </w:t>
            </w:r>
          </w:p>
          <w:p w14:paraId="062C4143" w14:textId="77777777" w:rsidR="008E16EE" w:rsidRPr="008E16EE" w:rsidRDefault="008E16EE" w:rsidP="007F7B5E">
            <w:pPr>
              <w:spacing w:line="360" w:lineRule="auto"/>
              <w:rPr>
                <w:sz w:val="16"/>
                <w:szCs w:val="16"/>
              </w:rPr>
            </w:pPr>
            <w:r w:rsidRPr="00BC08D0">
              <w:rPr>
                <w:sz w:val="16"/>
                <w:szCs w:val="16"/>
              </w:rPr>
              <w:t>**Correlation is significant at the 0.01 level</w:t>
            </w:r>
          </w:p>
        </w:tc>
      </w:tr>
    </w:tbl>
    <w:p w14:paraId="017CAC03" w14:textId="77777777" w:rsidR="008E16EE" w:rsidRPr="008E16EE" w:rsidRDefault="008E16EE" w:rsidP="008E16EE">
      <w:pPr>
        <w:spacing w:line="360" w:lineRule="auto"/>
        <w:rPr>
          <w:sz w:val="20"/>
          <w:szCs w:val="20"/>
        </w:rPr>
      </w:pPr>
    </w:p>
    <w:p w14:paraId="32E726DF" w14:textId="77777777" w:rsidR="008E16EE" w:rsidRPr="008E16EE" w:rsidRDefault="008E16EE" w:rsidP="008E16EE">
      <w:pPr>
        <w:pStyle w:val="ListParagraph"/>
        <w:spacing w:line="360" w:lineRule="auto"/>
        <w:rPr>
          <w:sz w:val="20"/>
          <w:szCs w:val="20"/>
        </w:rPr>
      </w:pPr>
    </w:p>
    <w:p w14:paraId="0E99AFE0" w14:textId="38FCE03E" w:rsidR="00383652" w:rsidRDefault="00383652" w:rsidP="00CA73A1">
      <w:pPr>
        <w:spacing w:line="360" w:lineRule="auto"/>
        <w:rPr>
          <w:sz w:val="20"/>
          <w:szCs w:val="20"/>
        </w:rPr>
      </w:pPr>
    </w:p>
    <w:p w14:paraId="63F712E7" w14:textId="189D16D1" w:rsidR="007B5ECD" w:rsidRDefault="007B5ECD" w:rsidP="00CA73A1">
      <w:pPr>
        <w:spacing w:line="360" w:lineRule="auto"/>
        <w:rPr>
          <w:sz w:val="20"/>
          <w:szCs w:val="20"/>
        </w:rPr>
      </w:pPr>
    </w:p>
    <w:p w14:paraId="131404DB" w14:textId="77777777" w:rsidR="0029298D" w:rsidRDefault="0029298D" w:rsidP="007B5ECD">
      <w:pPr>
        <w:spacing w:line="360" w:lineRule="auto"/>
        <w:rPr>
          <w:i/>
          <w:iCs/>
          <w:sz w:val="20"/>
          <w:szCs w:val="20"/>
          <w:u w:val="single"/>
        </w:rPr>
      </w:pPr>
    </w:p>
    <w:p w14:paraId="7678FA83" w14:textId="77777777" w:rsidR="005D1D3A" w:rsidRDefault="005D1D3A" w:rsidP="005D1D3A">
      <w:pPr>
        <w:pStyle w:val="ListParagraph"/>
        <w:spacing w:line="360" w:lineRule="auto"/>
        <w:rPr>
          <w:sz w:val="20"/>
          <w:szCs w:val="20"/>
        </w:rPr>
      </w:pPr>
    </w:p>
    <w:p w14:paraId="73DE5DBC" w14:textId="77777777" w:rsidR="005D1D3A" w:rsidRDefault="005D1D3A" w:rsidP="005D1D3A">
      <w:pPr>
        <w:pStyle w:val="ListParagraph"/>
        <w:spacing w:line="360" w:lineRule="auto"/>
        <w:rPr>
          <w:sz w:val="20"/>
          <w:szCs w:val="20"/>
        </w:rPr>
      </w:pPr>
    </w:p>
    <w:p w14:paraId="1D55BBD1" w14:textId="77777777" w:rsidR="005D1D3A" w:rsidRPr="000B6492" w:rsidRDefault="005D1D3A" w:rsidP="005D1D3A">
      <w:pPr>
        <w:pStyle w:val="ListParagraph"/>
        <w:spacing w:line="360" w:lineRule="auto"/>
        <w:rPr>
          <w:color w:val="000000" w:themeColor="text1"/>
          <w:sz w:val="20"/>
          <w:szCs w:val="20"/>
        </w:rPr>
      </w:pPr>
    </w:p>
    <w:p w14:paraId="182D2BE5" w14:textId="34BEF8A6" w:rsidR="00A04B6F" w:rsidRPr="000B6492" w:rsidRDefault="0029298D" w:rsidP="00A04B6F">
      <w:pPr>
        <w:pStyle w:val="ListParagraph"/>
        <w:numPr>
          <w:ilvl w:val="0"/>
          <w:numId w:val="27"/>
        </w:numPr>
        <w:spacing w:line="360" w:lineRule="auto"/>
        <w:rPr>
          <w:color w:val="000000" w:themeColor="text1"/>
        </w:rPr>
      </w:pPr>
      <w:r w:rsidRPr="000B6492">
        <w:rPr>
          <w:color w:val="000000" w:themeColor="text1"/>
        </w:rPr>
        <w:t xml:space="preserve">Correlation between social anxiety, depression and </w:t>
      </w:r>
      <w:r w:rsidRPr="000B6492">
        <w:rPr>
          <w:b/>
          <w:bCs/>
          <w:color w:val="000000" w:themeColor="text1"/>
        </w:rPr>
        <w:t>S</w:t>
      </w:r>
      <w:r w:rsidR="00A04B6F" w:rsidRPr="000B6492">
        <w:rPr>
          <w:b/>
          <w:bCs/>
          <w:color w:val="000000" w:themeColor="text1"/>
        </w:rPr>
        <w:t>elf-Reference Effect</w:t>
      </w:r>
      <w:r w:rsidR="00A04B6F" w:rsidRPr="000B6492">
        <w:rPr>
          <w:color w:val="000000" w:themeColor="text1"/>
        </w:rPr>
        <w:t xml:space="preserve"> </w:t>
      </w:r>
      <w:r w:rsidR="00A04B6F" w:rsidRPr="000B6492">
        <w:rPr>
          <w:b/>
          <w:bCs/>
          <w:color w:val="000000" w:themeColor="text1"/>
        </w:rPr>
        <w:t>In memory:</w:t>
      </w:r>
    </w:p>
    <w:tbl>
      <w:tblPr>
        <w:tblStyle w:val="TableGrid"/>
        <w:tblpPr w:leftFromText="180" w:rightFromText="180" w:vertAnchor="text" w:horzAnchor="margin" w:tblpY="163"/>
        <w:tblW w:w="7400" w:type="dxa"/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276"/>
        <w:gridCol w:w="1275"/>
        <w:gridCol w:w="1168"/>
      </w:tblGrid>
      <w:tr w:rsidR="000B6492" w:rsidRPr="000B6492" w14:paraId="58D03598" w14:textId="77777777" w:rsidTr="00A04B6F">
        <w:trPr>
          <w:gridAfter w:val="1"/>
          <w:wAfter w:w="1168" w:type="dxa"/>
        </w:trPr>
        <w:tc>
          <w:tcPr>
            <w:tcW w:w="240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05DC616" w14:textId="77777777" w:rsidR="00A04B6F" w:rsidRPr="000B6492" w:rsidRDefault="00A04B6F" w:rsidP="007F7B5E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BBAD3BA" w14:textId="77777777" w:rsidR="00A04B6F" w:rsidRPr="000B6492" w:rsidRDefault="00A04B6F" w:rsidP="00A04B6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B6492">
              <w:rPr>
                <w:color w:val="000000" w:themeColor="text1"/>
                <w:sz w:val="20"/>
                <w:szCs w:val="20"/>
              </w:rPr>
              <w:t>SRE</w:t>
            </w:r>
          </w:p>
          <w:p w14:paraId="6884FF86" w14:textId="7CB6991A" w:rsidR="00A04B6F" w:rsidRPr="000B6492" w:rsidRDefault="00A04B6F" w:rsidP="00A04B6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0B6492">
              <w:rPr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5848608" w14:textId="77777777" w:rsidR="00A04B6F" w:rsidRPr="000B6492" w:rsidRDefault="00A04B6F" w:rsidP="00A04B6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B6492">
              <w:rPr>
                <w:color w:val="000000" w:themeColor="text1"/>
                <w:sz w:val="20"/>
                <w:szCs w:val="20"/>
              </w:rPr>
              <w:t>SRE</w:t>
            </w:r>
          </w:p>
          <w:p w14:paraId="514BA719" w14:textId="7813F404" w:rsidR="00A04B6F" w:rsidRPr="000B6492" w:rsidRDefault="00A04B6F" w:rsidP="00A04B6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0B6492">
              <w:rPr>
                <w:color w:val="000000" w:themeColor="text1"/>
                <w:sz w:val="20"/>
                <w:szCs w:val="20"/>
              </w:rPr>
              <w:t>Affiliation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2D02C81" w14:textId="77777777" w:rsidR="00A04B6F" w:rsidRPr="000B6492" w:rsidRDefault="00A04B6F" w:rsidP="00A04B6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B6492">
              <w:rPr>
                <w:color w:val="000000" w:themeColor="text1"/>
                <w:sz w:val="20"/>
                <w:szCs w:val="20"/>
              </w:rPr>
              <w:t>SRE</w:t>
            </w:r>
          </w:p>
          <w:p w14:paraId="5E5647BE" w14:textId="470DC205" w:rsidR="00A04B6F" w:rsidRPr="000B6492" w:rsidRDefault="00A04B6F" w:rsidP="00A04B6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B6492">
              <w:rPr>
                <w:color w:val="000000" w:themeColor="text1"/>
                <w:sz w:val="20"/>
                <w:szCs w:val="20"/>
              </w:rPr>
              <w:t>Dominance</w:t>
            </w:r>
          </w:p>
        </w:tc>
      </w:tr>
      <w:tr w:rsidR="000B6492" w:rsidRPr="000B6492" w14:paraId="1728638A" w14:textId="77777777" w:rsidTr="00A04B6F">
        <w:trPr>
          <w:gridAfter w:val="1"/>
          <w:wAfter w:w="1168" w:type="dxa"/>
        </w:trPr>
        <w:tc>
          <w:tcPr>
            <w:tcW w:w="2405" w:type="dxa"/>
          </w:tcPr>
          <w:p w14:paraId="46A4E98D" w14:textId="77777777" w:rsidR="00A04B6F" w:rsidRPr="000B6492" w:rsidRDefault="00A04B6F" w:rsidP="007F7B5E">
            <w:pPr>
              <w:spacing w:line="360" w:lineRule="auto"/>
              <w:rPr>
                <w:color w:val="000000" w:themeColor="text1"/>
                <w:sz w:val="18"/>
                <w:szCs w:val="18"/>
                <w:lang w:val="en-US"/>
              </w:rPr>
            </w:pPr>
            <w:r w:rsidRPr="000B6492">
              <w:rPr>
                <w:color w:val="000000" w:themeColor="text1"/>
                <w:sz w:val="18"/>
                <w:szCs w:val="18"/>
              </w:rPr>
              <w:t>SAD</w:t>
            </w:r>
          </w:p>
        </w:tc>
        <w:tc>
          <w:tcPr>
            <w:tcW w:w="1276" w:type="dxa"/>
          </w:tcPr>
          <w:p w14:paraId="3FA09E30" w14:textId="64577F4C" w:rsidR="00A04B6F" w:rsidRPr="000B6492" w:rsidRDefault="00A04B6F" w:rsidP="00A04B6F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 w:rsidRPr="000B6492">
              <w:rPr>
                <w:color w:val="000000" w:themeColor="text1"/>
                <w:sz w:val="18"/>
                <w:szCs w:val="18"/>
              </w:rPr>
              <w:t>-.277**</w:t>
            </w:r>
          </w:p>
        </w:tc>
        <w:tc>
          <w:tcPr>
            <w:tcW w:w="1276" w:type="dxa"/>
          </w:tcPr>
          <w:p w14:paraId="0FE17AB9" w14:textId="627576B8" w:rsidR="00A04B6F" w:rsidRPr="000B6492" w:rsidRDefault="00A04B6F" w:rsidP="00A04B6F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 w:rsidRPr="000B6492">
              <w:rPr>
                <w:color w:val="000000" w:themeColor="text1"/>
                <w:sz w:val="18"/>
                <w:szCs w:val="18"/>
              </w:rPr>
              <w:t>-.085</w:t>
            </w:r>
          </w:p>
        </w:tc>
        <w:tc>
          <w:tcPr>
            <w:tcW w:w="1275" w:type="dxa"/>
          </w:tcPr>
          <w:p w14:paraId="582DB22B" w14:textId="06C9B4F9" w:rsidR="00A04B6F" w:rsidRPr="000B6492" w:rsidRDefault="00A04B6F" w:rsidP="00A04B6F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0B6492">
              <w:rPr>
                <w:color w:val="000000" w:themeColor="text1"/>
                <w:sz w:val="18"/>
                <w:szCs w:val="18"/>
              </w:rPr>
              <w:t>-.201*</w:t>
            </w:r>
          </w:p>
        </w:tc>
      </w:tr>
      <w:tr w:rsidR="000B6492" w:rsidRPr="000B6492" w14:paraId="23BCF60F" w14:textId="77777777" w:rsidTr="00A04B6F">
        <w:trPr>
          <w:gridAfter w:val="1"/>
          <w:wAfter w:w="1168" w:type="dxa"/>
        </w:trPr>
        <w:tc>
          <w:tcPr>
            <w:tcW w:w="2405" w:type="dxa"/>
          </w:tcPr>
          <w:p w14:paraId="037F5B4F" w14:textId="77777777" w:rsidR="00A04B6F" w:rsidRPr="000B6492" w:rsidRDefault="00A04B6F" w:rsidP="007F7B5E">
            <w:pPr>
              <w:spacing w:line="360" w:lineRule="auto"/>
              <w:rPr>
                <w:color w:val="000000" w:themeColor="text1"/>
                <w:sz w:val="18"/>
                <w:szCs w:val="18"/>
                <w:lang w:val="en-US"/>
              </w:rPr>
            </w:pPr>
            <w:r w:rsidRPr="000B6492">
              <w:rPr>
                <w:color w:val="000000" w:themeColor="text1"/>
                <w:sz w:val="18"/>
                <w:szCs w:val="18"/>
              </w:rPr>
              <w:t>BDI</w:t>
            </w:r>
          </w:p>
        </w:tc>
        <w:tc>
          <w:tcPr>
            <w:tcW w:w="1276" w:type="dxa"/>
          </w:tcPr>
          <w:p w14:paraId="47DEA5B0" w14:textId="66786055" w:rsidR="00A04B6F" w:rsidRPr="000B6492" w:rsidRDefault="00A04B6F" w:rsidP="00A04B6F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 w:rsidRPr="000B6492">
              <w:rPr>
                <w:color w:val="000000" w:themeColor="text1"/>
                <w:sz w:val="18"/>
                <w:szCs w:val="18"/>
              </w:rPr>
              <w:t>-.138</w:t>
            </w:r>
          </w:p>
        </w:tc>
        <w:tc>
          <w:tcPr>
            <w:tcW w:w="1276" w:type="dxa"/>
          </w:tcPr>
          <w:p w14:paraId="43872F6C" w14:textId="7A3C1C33" w:rsidR="00A04B6F" w:rsidRPr="000B6492" w:rsidRDefault="00A04B6F" w:rsidP="00A04B6F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 w:rsidRPr="000B6492">
              <w:rPr>
                <w:color w:val="000000" w:themeColor="text1"/>
                <w:sz w:val="18"/>
                <w:szCs w:val="18"/>
              </w:rPr>
              <w:t>.002</w:t>
            </w:r>
          </w:p>
        </w:tc>
        <w:tc>
          <w:tcPr>
            <w:tcW w:w="1275" w:type="dxa"/>
          </w:tcPr>
          <w:p w14:paraId="34331DF3" w14:textId="317FA77C" w:rsidR="00A04B6F" w:rsidRPr="000B6492" w:rsidRDefault="00A04B6F" w:rsidP="00A04B6F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0B6492">
              <w:rPr>
                <w:color w:val="000000" w:themeColor="text1"/>
                <w:sz w:val="18"/>
                <w:szCs w:val="18"/>
              </w:rPr>
              <w:t>-.054</w:t>
            </w:r>
          </w:p>
        </w:tc>
      </w:tr>
      <w:tr w:rsidR="000B6492" w:rsidRPr="000B6492" w14:paraId="528CE552" w14:textId="77777777" w:rsidTr="00A04B6F">
        <w:trPr>
          <w:gridAfter w:val="1"/>
          <w:wAfter w:w="1168" w:type="dxa"/>
        </w:trPr>
        <w:tc>
          <w:tcPr>
            <w:tcW w:w="2405" w:type="dxa"/>
            <w:tcBorders>
              <w:bottom w:val="single" w:sz="4" w:space="0" w:color="auto"/>
            </w:tcBorders>
          </w:tcPr>
          <w:p w14:paraId="2338750B" w14:textId="0EFC56C9" w:rsidR="00A04B6F" w:rsidRPr="000B6492" w:rsidRDefault="00A04B6F" w:rsidP="007F7B5E">
            <w:pPr>
              <w:spacing w:line="360" w:lineRule="auto"/>
              <w:rPr>
                <w:color w:val="000000" w:themeColor="text1"/>
                <w:sz w:val="18"/>
                <w:szCs w:val="18"/>
                <w:lang w:val="en-US"/>
              </w:rPr>
            </w:pPr>
            <w:r w:rsidRPr="000B6492">
              <w:rPr>
                <w:color w:val="000000" w:themeColor="text1"/>
                <w:sz w:val="18"/>
                <w:szCs w:val="18"/>
              </w:rPr>
              <w:t>SAD (Controlling</w:t>
            </w:r>
            <w:r w:rsidR="00367954" w:rsidRPr="000B6492">
              <w:rPr>
                <w:color w:val="000000" w:themeColor="text1"/>
                <w:sz w:val="18"/>
                <w:szCs w:val="18"/>
                <w:lang w:val="en-US"/>
              </w:rPr>
              <w:t xml:space="preserve"> for</w:t>
            </w:r>
            <w:r w:rsidRPr="000B6492">
              <w:rPr>
                <w:color w:val="000000" w:themeColor="text1"/>
                <w:sz w:val="18"/>
                <w:szCs w:val="18"/>
              </w:rPr>
              <w:t xml:space="preserve"> BDI)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EEE76F" w14:textId="1C25731F" w:rsidR="00A04B6F" w:rsidRPr="000B6492" w:rsidRDefault="00A04B6F" w:rsidP="00A04B6F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 w:rsidRPr="000B6492">
              <w:rPr>
                <w:color w:val="000000" w:themeColor="text1"/>
                <w:sz w:val="18"/>
                <w:szCs w:val="18"/>
              </w:rPr>
              <w:t>-.243*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3316F42" w14:textId="4A6BE727" w:rsidR="00A04B6F" w:rsidRPr="000B6492" w:rsidRDefault="00A04B6F" w:rsidP="00A04B6F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 w:rsidRPr="000B6492">
              <w:rPr>
                <w:color w:val="000000" w:themeColor="text1"/>
                <w:sz w:val="18"/>
                <w:szCs w:val="18"/>
              </w:rPr>
              <w:t>-.101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A85F9F7" w14:textId="6C243EF6" w:rsidR="00A04B6F" w:rsidRPr="000B6492" w:rsidRDefault="00A04B6F" w:rsidP="00A04B6F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0B6492">
              <w:rPr>
                <w:color w:val="000000" w:themeColor="text1"/>
                <w:sz w:val="18"/>
                <w:szCs w:val="18"/>
              </w:rPr>
              <w:t>-.202*</w:t>
            </w:r>
          </w:p>
        </w:tc>
      </w:tr>
      <w:tr w:rsidR="00A04B6F" w:rsidRPr="00E22532" w14:paraId="4570A48D" w14:textId="77777777" w:rsidTr="007F7B5E">
        <w:tc>
          <w:tcPr>
            <w:tcW w:w="74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24649D8" w14:textId="77777777" w:rsidR="00A04B6F" w:rsidRDefault="00A04B6F" w:rsidP="007F7B5E">
            <w:pPr>
              <w:spacing w:line="360" w:lineRule="auto"/>
              <w:rPr>
                <w:sz w:val="16"/>
                <w:szCs w:val="16"/>
              </w:rPr>
            </w:pPr>
          </w:p>
          <w:p w14:paraId="5D8B88C8" w14:textId="77777777" w:rsidR="00A04B6F" w:rsidRDefault="00A04B6F" w:rsidP="007F7B5E">
            <w:pPr>
              <w:spacing w:line="360" w:lineRule="auto"/>
              <w:rPr>
                <w:sz w:val="16"/>
                <w:szCs w:val="16"/>
              </w:rPr>
            </w:pPr>
            <w:r w:rsidRPr="00BC08D0">
              <w:rPr>
                <w:sz w:val="16"/>
                <w:szCs w:val="16"/>
              </w:rPr>
              <w:t xml:space="preserve">*Correlation is significant at the 0.05 level </w:t>
            </w:r>
          </w:p>
          <w:p w14:paraId="4D0B4C08" w14:textId="77777777" w:rsidR="00A04B6F" w:rsidRPr="008E16EE" w:rsidRDefault="00A04B6F" w:rsidP="007F7B5E">
            <w:pPr>
              <w:spacing w:line="360" w:lineRule="auto"/>
              <w:rPr>
                <w:sz w:val="16"/>
                <w:szCs w:val="16"/>
              </w:rPr>
            </w:pPr>
            <w:r w:rsidRPr="00BC08D0">
              <w:rPr>
                <w:sz w:val="16"/>
                <w:szCs w:val="16"/>
              </w:rPr>
              <w:t>**Correlation is significant at the 0.01 level</w:t>
            </w:r>
          </w:p>
        </w:tc>
      </w:tr>
    </w:tbl>
    <w:p w14:paraId="62390410" w14:textId="0D65804E" w:rsidR="00A04B6F" w:rsidRDefault="00A04B6F" w:rsidP="00A04B6F">
      <w:pPr>
        <w:pStyle w:val="ListParagraph"/>
        <w:spacing w:line="360" w:lineRule="auto"/>
        <w:rPr>
          <w:sz w:val="20"/>
          <w:szCs w:val="20"/>
        </w:rPr>
      </w:pPr>
    </w:p>
    <w:p w14:paraId="09F7E3F7" w14:textId="05F133FB" w:rsidR="00A04B6F" w:rsidRDefault="00A04B6F" w:rsidP="00A04B6F">
      <w:pPr>
        <w:pStyle w:val="ListParagraph"/>
        <w:spacing w:line="360" w:lineRule="auto"/>
        <w:rPr>
          <w:sz w:val="20"/>
          <w:szCs w:val="20"/>
        </w:rPr>
      </w:pPr>
    </w:p>
    <w:p w14:paraId="1163CEF9" w14:textId="3D07CF12" w:rsidR="00A04B6F" w:rsidRDefault="00A04B6F" w:rsidP="00A04B6F">
      <w:pPr>
        <w:pStyle w:val="ListParagraph"/>
        <w:spacing w:line="360" w:lineRule="auto"/>
        <w:rPr>
          <w:sz w:val="20"/>
          <w:szCs w:val="20"/>
        </w:rPr>
      </w:pPr>
    </w:p>
    <w:p w14:paraId="6F9FAA3F" w14:textId="5B532261" w:rsidR="00A04B6F" w:rsidRDefault="00A04B6F" w:rsidP="00A04B6F">
      <w:pPr>
        <w:pStyle w:val="ListParagraph"/>
        <w:spacing w:line="360" w:lineRule="auto"/>
        <w:rPr>
          <w:sz w:val="20"/>
          <w:szCs w:val="20"/>
        </w:rPr>
      </w:pPr>
    </w:p>
    <w:p w14:paraId="1F5AC7DF" w14:textId="78B26750" w:rsidR="00A04B6F" w:rsidRDefault="00A04B6F" w:rsidP="00A04B6F">
      <w:pPr>
        <w:pStyle w:val="ListParagraph"/>
        <w:spacing w:line="360" w:lineRule="auto"/>
        <w:rPr>
          <w:sz w:val="20"/>
          <w:szCs w:val="20"/>
        </w:rPr>
      </w:pPr>
    </w:p>
    <w:p w14:paraId="6F3255D4" w14:textId="77777777" w:rsidR="00A04B6F" w:rsidRPr="0029298D" w:rsidRDefault="00A04B6F" w:rsidP="00A04B6F">
      <w:pPr>
        <w:pStyle w:val="ListParagraph"/>
        <w:spacing w:line="360" w:lineRule="auto"/>
        <w:rPr>
          <w:sz w:val="20"/>
          <w:szCs w:val="20"/>
        </w:rPr>
      </w:pPr>
    </w:p>
    <w:p w14:paraId="7B3711F9" w14:textId="77777777" w:rsidR="0029298D" w:rsidRDefault="0029298D" w:rsidP="007B5ECD">
      <w:pPr>
        <w:spacing w:line="360" w:lineRule="auto"/>
        <w:rPr>
          <w:i/>
          <w:iCs/>
          <w:sz w:val="20"/>
          <w:szCs w:val="20"/>
          <w:u w:val="single"/>
        </w:rPr>
      </w:pPr>
    </w:p>
    <w:p w14:paraId="72C76CBC" w14:textId="4E33889E" w:rsidR="006E39EB" w:rsidRDefault="006E39EB" w:rsidP="006E39EB">
      <w:pPr>
        <w:spacing w:line="360" w:lineRule="auto"/>
        <w:rPr>
          <w:sz w:val="20"/>
          <w:szCs w:val="20"/>
        </w:rPr>
      </w:pPr>
    </w:p>
    <w:p w14:paraId="099AE9E9" w14:textId="2E35A492" w:rsidR="00035D7E" w:rsidRPr="003F75C1" w:rsidRDefault="00A72FB3" w:rsidP="00A72FB3">
      <w:pPr>
        <w:spacing w:line="360" w:lineRule="auto"/>
        <w:rPr>
          <w:rFonts w:ascii="CMR12" w:hAnsi="CMR12"/>
          <w:b/>
          <w:bCs/>
          <w:u w:val="single"/>
        </w:rPr>
      </w:pPr>
      <w:r w:rsidRPr="003F75C1">
        <w:rPr>
          <w:rFonts w:ascii="CMR12" w:hAnsi="CMR12"/>
          <w:b/>
          <w:bCs/>
          <w:u w:val="single"/>
        </w:rPr>
        <w:t>Present Study</w:t>
      </w:r>
      <w:r w:rsidR="0062181A" w:rsidRPr="003F75C1">
        <w:rPr>
          <w:rFonts w:ascii="CMR12" w:hAnsi="CMR12"/>
          <w:b/>
          <w:bCs/>
          <w:u w:val="single"/>
        </w:rPr>
        <w:t>.</w:t>
      </w:r>
    </w:p>
    <w:p w14:paraId="5F6EB48F" w14:textId="5F732A8C" w:rsidR="005D1D3A" w:rsidRPr="003F75C1" w:rsidRDefault="00A72FB3" w:rsidP="005D1D3A">
      <w:pPr>
        <w:spacing w:line="360" w:lineRule="auto"/>
        <w:rPr>
          <w:rFonts w:ascii="CMR12" w:hAnsi="CMR12"/>
        </w:rPr>
      </w:pPr>
      <w:r w:rsidRPr="003F75C1">
        <w:rPr>
          <w:rFonts w:ascii="CMR12" w:hAnsi="CMR12"/>
          <w:b/>
          <w:bCs/>
        </w:rPr>
        <w:t>Participants</w:t>
      </w:r>
      <w:r w:rsidR="003F75C1">
        <w:rPr>
          <w:rFonts w:ascii="CMR12" w:hAnsi="CMR12"/>
          <w:b/>
          <w:bCs/>
          <w:lang w:val="en-US"/>
        </w:rPr>
        <w:t>.</w:t>
      </w:r>
      <w:r w:rsidR="003F75C1">
        <w:rPr>
          <w:rFonts w:ascii="CMR12" w:hAnsi="CMR12"/>
          <w:lang w:val="en-US"/>
        </w:rPr>
        <w:t xml:space="preserve"> </w:t>
      </w:r>
      <w:r w:rsidR="005D1D3A" w:rsidRPr="003F75C1">
        <w:rPr>
          <w:rFonts w:ascii="CMR12" w:hAnsi="CMR12"/>
        </w:rPr>
        <w:t>We aim recruit American participants</w:t>
      </w:r>
      <w:r w:rsidR="002D03BD" w:rsidRPr="003F75C1">
        <w:rPr>
          <w:rFonts w:ascii="CMR12" w:hAnsi="CMR12"/>
        </w:rPr>
        <w:t xml:space="preserve"> online </w:t>
      </w:r>
      <w:r w:rsidR="005D1D3A" w:rsidRPr="003F75C1">
        <w:rPr>
          <w:rFonts w:ascii="CMR12" w:hAnsi="CMR12"/>
        </w:rPr>
        <w:t>via Amazon M-Turk.</w:t>
      </w:r>
    </w:p>
    <w:p w14:paraId="221FAC8B" w14:textId="4795F898" w:rsidR="00A72FB3" w:rsidRPr="003F75C1" w:rsidRDefault="005D1D3A" w:rsidP="005D1D3A">
      <w:pPr>
        <w:spacing w:line="360" w:lineRule="auto"/>
        <w:rPr>
          <w:rFonts w:ascii="CMR12" w:hAnsi="CMR12"/>
        </w:rPr>
      </w:pPr>
      <w:r w:rsidRPr="003F75C1">
        <w:rPr>
          <w:rFonts w:ascii="CMR12" w:hAnsi="CMR12"/>
        </w:rPr>
        <w:t>Based on correlations found in our pilot study we used G*Power software to determine our sample size. Statistical power was set to 0.8, alpha was set to .05. Based on this, a sample size of ~</w:t>
      </w:r>
      <w:r w:rsidRPr="003F75C1">
        <w:rPr>
          <w:rFonts w:ascii="CMR12" w:hAnsi="CMR12" w:hint="cs"/>
          <w:rtl/>
        </w:rPr>
        <w:t>150</w:t>
      </w:r>
      <w:r w:rsidRPr="003F75C1">
        <w:rPr>
          <w:rFonts w:ascii="CMR12" w:hAnsi="CMR12"/>
        </w:rPr>
        <w:t xml:space="preserve"> was calculated.</w:t>
      </w:r>
    </w:p>
    <w:p w14:paraId="01F6D74A" w14:textId="42D5E802" w:rsidR="00A72FB3" w:rsidRPr="003F75C1" w:rsidRDefault="00A72FB3" w:rsidP="003F75C1">
      <w:pPr>
        <w:spacing w:line="360" w:lineRule="auto"/>
        <w:rPr>
          <w:rFonts w:ascii="CMR12" w:hAnsi="CMR12"/>
          <w:b/>
          <w:bCs/>
          <w:i/>
          <w:iCs/>
          <w:lang w:val="en-US"/>
        </w:rPr>
      </w:pPr>
      <w:r w:rsidRPr="003F75C1">
        <w:rPr>
          <w:rFonts w:ascii="CMR12" w:hAnsi="CMR12"/>
          <w:b/>
          <w:bCs/>
          <w:i/>
          <w:iCs/>
        </w:rPr>
        <w:lastRenderedPageBreak/>
        <w:t>Procedure</w:t>
      </w:r>
      <w:r w:rsidR="003F75C1">
        <w:rPr>
          <w:rFonts w:ascii="CMR12" w:hAnsi="CMR12"/>
          <w:b/>
          <w:bCs/>
          <w:i/>
          <w:iCs/>
          <w:lang w:val="en-US"/>
        </w:rPr>
        <w:t xml:space="preserve">. </w:t>
      </w:r>
      <w:r w:rsidR="005D1D3A" w:rsidRPr="003F75C1">
        <w:rPr>
          <w:rFonts w:ascii="CMR12" w:hAnsi="CMR12"/>
        </w:rPr>
        <w:t xml:space="preserve">The procedure in the present study will be </w:t>
      </w:r>
      <w:r w:rsidR="002D03BD" w:rsidRPr="003F75C1">
        <w:rPr>
          <w:rFonts w:ascii="CMR12" w:hAnsi="CMR12"/>
        </w:rPr>
        <w:t>identical</w:t>
      </w:r>
      <w:r w:rsidR="005D1D3A" w:rsidRPr="003F75C1">
        <w:rPr>
          <w:rFonts w:ascii="CMR12" w:hAnsi="CMR12"/>
        </w:rPr>
        <w:t xml:space="preserve"> to our </w:t>
      </w:r>
      <w:r w:rsidR="002D03BD" w:rsidRPr="003F75C1">
        <w:rPr>
          <w:rFonts w:ascii="CMR12" w:hAnsi="CMR12"/>
        </w:rPr>
        <w:t>pilot study’s procedure</w:t>
      </w:r>
      <w:r w:rsidR="005D1D3A" w:rsidRPr="003F75C1">
        <w:rPr>
          <w:rFonts w:ascii="CMR12" w:hAnsi="CMR12"/>
        </w:rPr>
        <w:t xml:space="preserve"> </w:t>
      </w:r>
      <w:r w:rsidR="002D03BD" w:rsidRPr="003F75C1">
        <w:rPr>
          <w:rFonts w:ascii="CMR12" w:hAnsi="CMR12"/>
        </w:rPr>
        <w:t>with two minor changes:</w:t>
      </w:r>
    </w:p>
    <w:p w14:paraId="7E290459" w14:textId="0DE14749" w:rsidR="002D03BD" w:rsidRPr="003F75C1" w:rsidRDefault="00C80B72" w:rsidP="00C80B72">
      <w:pPr>
        <w:spacing w:line="360" w:lineRule="auto"/>
        <w:rPr>
          <w:rFonts w:ascii="CMR12" w:hAnsi="CMR12"/>
        </w:rPr>
      </w:pPr>
      <w:r w:rsidRPr="003F75C1">
        <w:rPr>
          <w:rFonts w:ascii="CMR12" w:hAnsi="CMR12"/>
        </w:rPr>
        <w:t xml:space="preserve">-    </w:t>
      </w:r>
      <w:r w:rsidR="002D03BD" w:rsidRPr="003F75C1">
        <w:rPr>
          <w:rFonts w:ascii="CMR12" w:hAnsi="CMR12"/>
        </w:rPr>
        <w:t xml:space="preserve">We will increase the number of stimuli in each category from 11 to </w:t>
      </w:r>
      <w:r w:rsidR="00125988" w:rsidRPr="003F75C1">
        <w:rPr>
          <w:rFonts w:ascii="CMR12" w:hAnsi="CMR12"/>
        </w:rPr>
        <w:t>30</w:t>
      </w:r>
      <w:r w:rsidR="002D03BD" w:rsidRPr="003F75C1">
        <w:rPr>
          <w:rFonts w:ascii="CMR12" w:hAnsi="CMR12"/>
        </w:rPr>
        <w:t xml:space="preserve"> traits.</w:t>
      </w:r>
    </w:p>
    <w:p w14:paraId="00C3195E" w14:textId="21CEDBE8" w:rsidR="007800A5" w:rsidRPr="003F75C1" w:rsidRDefault="00C80B72" w:rsidP="00C80B72">
      <w:pPr>
        <w:spacing w:line="360" w:lineRule="auto"/>
        <w:rPr>
          <w:rFonts w:ascii="CMR12" w:hAnsi="CMR12"/>
        </w:rPr>
      </w:pPr>
      <w:r w:rsidRPr="003F75C1">
        <w:rPr>
          <w:rFonts w:ascii="CMR12" w:hAnsi="CMR12"/>
        </w:rPr>
        <w:t>-    Participants will be recruited online</w:t>
      </w:r>
    </w:p>
    <w:p w14:paraId="1117CF76" w14:textId="77777777" w:rsidR="003F75C1" w:rsidRDefault="003F75C1" w:rsidP="003F75C1">
      <w:pPr>
        <w:spacing w:line="360" w:lineRule="auto"/>
        <w:rPr>
          <w:i/>
          <w:iCs/>
          <w:sz w:val="20"/>
          <w:szCs w:val="20"/>
          <w:u w:val="single"/>
          <w:lang w:val="en-US"/>
        </w:rPr>
      </w:pPr>
    </w:p>
    <w:p w14:paraId="23B5FA75" w14:textId="6EE638A4" w:rsidR="00A72FB3" w:rsidRPr="003F75C1" w:rsidRDefault="00A72FB3" w:rsidP="003F75C1">
      <w:pPr>
        <w:spacing w:line="360" w:lineRule="auto"/>
        <w:rPr>
          <w:rFonts w:ascii="CMR12" w:hAnsi="CMR12"/>
          <w:b/>
          <w:bCs/>
          <w:i/>
          <w:iCs/>
        </w:rPr>
      </w:pPr>
      <w:r w:rsidRPr="003F75C1">
        <w:rPr>
          <w:rFonts w:ascii="CMR12" w:hAnsi="CMR12"/>
          <w:b/>
          <w:bCs/>
          <w:i/>
          <w:iCs/>
        </w:rPr>
        <w:t>Exclusion criteria</w:t>
      </w:r>
      <w:r w:rsidR="00C80B72" w:rsidRPr="003F75C1">
        <w:rPr>
          <w:rFonts w:ascii="CMR12" w:hAnsi="CMR12"/>
          <w:b/>
          <w:bCs/>
          <w:i/>
          <w:iCs/>
        </w:rPr>
        <w:t>:</w:t>
      </w:r>
    </w:p>
    <w:p w14:paraId="4D4C6A49" w14:textId="77777777" w:rsidR="005D1D3A" w:rsidRPr="003F75C1" w:rsidRDefault="005D1D3A" w:rsidP="005D1D3A">
      <w:pPr>
        <w:pStyle w:val="ListParagraph"/>
        <w:numPr>
          <w:ilvl w:val="0"/>
          <w:numId w:val="8"/>
        </w:numPr>
        <w:spacing w:line="360" w:lineRule="auto"/>
        <w:rPr>
          <w:rFonts w:ascii="CMR12" w:hAnsi="CMR12"/>
          <w:lang w:val="en-IL"/>
        </w:rPr>
      </w:pPr>
      <w:r w:rsidRPr="003F75C1">
        <w:rPr>
          <w:rFonts w:ascii="CMR12" w:hAnsi="CMR12"/>
          <w:lang w:val="en-IL"/>
        </w:rPr>
        <w:t>Participants with no variance in the questionnaires or incomplete data.</w:t>
      </w:r>
    </w:p>
    <w:p w14:paraId="07965CD9" w14:textId="77777777" w:rsidR="005D1D3A" w:rsidRPr="003F75C1" w:rsidRDefault="005D1D3A" w:rsidP="005D1D3A">
      <w:pPr>
        <w:pStyle w:val="ListParagraph"/>
        <w:numPr>
          <w:ilvl w:val="0"/>
          <w:numId w:val="8"/>
        </w:numPr>
        <w:spacing w:line="360" w:lineRule="auto"/>
        <w:rPr>
          <w:rFonts w:ascii="CMR12" w:hAnsi="CMR12"/>
          <w:lang w:val="en-IL"/>
        </w:rPr>
      </w:pPr>
      <w:r w:rsidRPr="003F75C1">
        <w:rPr>
          <w:rFonts w:ascii="CMR12" w:hAnsi="CMR12"/>
          <w:lang w:val="en-IL"/>
        </w:rPr>
        <w:t>Participants who recalled 3 or less traits in the recollection phase.</w:t>
      </w:r>
    </w:p>
    <w:p w14:paraId="4A5D6D0E" w14:textId="176FFEAA" w:rsidR="005D1D3A" w:rsidRPr="003F75C1" w:rsidRDefault="005D1D3A" w:rsidP="005D1D3A">
      <w:pPr>
        <w:pStyle w:val="ListParagraph"/>
        <w:numPr>
          <w:ilvl w:val="0"/>
          <w:numId w:val="8"/>
        </w:numPr>
        <w:spacing w:line="360" w:lineRule="auto"/>
        <w:rPr>
          <w:rFonts w:ascii="CMR12" w:hAnsi="CMR12"/>
          <w:rtl/>
          <w:lang w:val="en-IL"/>
        </w:rPr>
      </w:pPr>
      <w:r w:rsidRPr="003F75C1">
        <w:rPr>
          <w:rFonts w:ascii="CMR12" w:hAnsi="CMR12"/>
          <w:lang w:val="en-IL"/>
        </w:rPr>
        <w:t>Participants who indicated more then 90 percent of the words to any category in the attribution phase.</w:t>
      </w:r>
    </w:p>
    <w:p w14:paraId="567ABEFC" w14:textId="2D7AC742" w:rsidR="005D1D3A" w:rsidRPr="003F75C1" w:rsidRDefault="005D1D3A" w:rsidP="005D1D3A">
      <w:pPr>
        <w:pStyle w:val="ListParagraph"/>
        <w:numPr>
          <w:ilvl w:val="0"/>
          <w:numId w:val="8"/>
        </w:numPr>
        <w:spacing w:line="360" w:lineRule="auto"/>
        <w:rPr>
          <w:rFonts w:ascii="CMR12" w:hAnsi="CMR12"/>
          <w:lang w:val="en-IL"/>
        </w:rPr>
      </w:pPr>
      <w:r w:rsidRPr="003F75C1">
        <w:rPr>
          <w:rFonts w:ascii="CMR12" w:hAnsi="CMR12"/>
          <w:lang w:val="en-IL"/>
        </w:rPr>
        <w:t>Participants completing the survey from the same locations.</w:t>
      </w:r>
    </w:p>
    <w:p w14:paraId="3DFDB5AB" w14:textId="7B4319A2" w:rsidR="005D1D3A" w:rsidRDefault="005D1D3A" w:rsidP="005D1D3A">
      <w:pPr>
        <w:pStyle w:val="ListParagraph"/>
        <w:numPr>
          <w:ilvl w:val="0"/>
          <w:numId w:val="8"/>
        </w:numPr>
        <w:spacing w:line="360" w:lineRule="auto"/>
        <w:rPr>
          <w:rFonts w:ascii="CMR12" w:hAnsi="CMR12"/>
          <w:lang w:val="en-IL"/>
        </w:rPr>
      </w:pPr>
      <w:r w:rsidRPr="003F75C1">
        <w:rPr>
          <w:rFonts w:ascii="CMR12" w:hAnsi="CMR12"/>
          <w:lang w:val="en-IL"/>
        </w:rPr>
        <w:t>Participants who answered more then 10 percent of the trials under 200 ms.</w:t>
      </w:r>
    </w:p>
    <w:p w14:paraId="583B4C3E" w14:textId="02750F79" w:rsidR="0065260B" w:rsidRDefault="0065260B" w:rsidP="0065260B">
      <w:pPr>
        <w:spacing w:line="360" w:lineRule="auto"/>
        <w:rPr>
          <w:rFonts w:ascii="CMR12" w:hAnsi="CMR12"/>
        </w:rPr>
      </w:pPr>
    </w:p>
    <w:p w14:paraId="135522BA" w14:textId="3075277A" w:rsidR="0065260B" w:rsidRPr="000B6492" w:rsidRDefault="0065260B" w:rsidP="0065260B">
      <w:pPr>
        <w:spacing w:line="360" w:lineRule="auto"/>
        <w:rPr>
          <w:rFonts w:ascii="CMR12" w:hAnsi="CMR12"/>
          <w:i/>
          <w:iCs/>
          <w:color w:val="000000" w:themeColor="text1"/>
          <w:lang w:val="en-US"/>
        </w:rPr>
      </w:pPr>
      <w:r w:rsidRPr="000B6492">
        <w:rPr>
          <w:rFonts w:ascii="CMR12" w:hAnsi="CMR12"/>
          <w:b/>
          <w:bCs/>
          <w:i/>
          <w:iCs/>
          <w:color w:val="000000" w:themeColor="text1"/>
          <w:lang w:val="en-US"/>
        </w:rPr>
        <w:t xml:space="preserve">Statistical analyses. </w:t>
      </w:r>
      <w:r w:rsidR="000B6492">
        <w:rPr>
          <w:rFonts w:ascii="CMR12" w:hAnsi="CMR12"/>
          <w:i/>
          <w:iCs/>
          <w:color w:val="000000" w:themeColor="text1"/>
          <w:lang w:val="en-US"/>
        </w:rPr>
        <w:t>We aim to conduct the same analyses preformed on the pilot study. Regression models will assess the association between the SRET variables with SA severity, controlling for depression severity.</w:t>
      </w:r>
    </w:p>
    <w:p w14:paraId="5FDF4489" w14:textId="77777777" w:rsidR="0065260B" w:rsidRPr="0065260B" w:rsidRDefault="0065260B" w:rsidP="0065260B">
      <w:pPr>
        <w:spacing w:line="360" w:lineRule="auto"/>
        <w:rPr>
          <w:rFonts w:ascii="CMR12" w:hAnsi="CMR12"/>
        </w:rPr>
      </w:pPr>
    </w:p>
    <w:p w14:paraId="6E76594A" w14:textId="77777777" w:rsidR="005D1D3A" w:rsidRPr="0065260B" w:rsidRDefault="005D1D3A" w:rsidP="00035D7E">
      <w:pPr>
        <w:spacing w:line="360" w:lineRule="auto"/>
        <w:rPr>
          <w:i/>
          <w:iCs/>
          <w:sz w:val="20"/>
          <w:szCs w:val="20"/>
          <w:u w:val="single"/>
        </w:rPr>
      </w:pPr>
    </w:p>
    <w:p w14:paraId="22CFE229" w14:textId="77777777" w:rsidR="00035D7E" w:rsidRDefault="00035D7E" w:rsidP="00035D7E">
      <w:pPr>
        <w:spacing w:line="360" w:lineRule="auto"/>
        <w:rPr>
          <w:sz w:val="20"/>
          <w:szCs w:val="20"/>
        </w:rPr>
      </w:pPr>
    </w:p>
    <w:p w14:paraId="5AF47CCA" w14:textId="2F740C22" w:rsidR="00742EBE" w:rsidRPr="003F75C1" w:rsidRDefault="00D5161A" w:rsidP="003F75C1">
      <w:pPr>
        <w:rPr>
          <w:rFonts w:ascii="CMR12" w:hAnsi="CMR12"/>
          <w:b/>
          <w:bCs/>
        </w:rPr>
      </w:pPr>
      <w:r w:rsidRPr="003F75C1">
        <w:rPr>
          <w:rFonts w:ascii="CMR12" w:hAnsi="CMR12"/>
          <w:b/>
          <w:bCs/>
        </w:rPr>
        <w:t>Appendix</w:t>
      </w:r>
    </w:p>
    <w:p w14:paraId="4E5701F4" w14:textId="4FA146F4" w:rsidR="00B2049A" w:rsidRPr="003F75C1" w:rsidRDefault="00D5161A" w:rsidP="003F75C1">
      <w:pPr>
        <w:spacing w:line="360" w:lineRule="auto"/>
        <w:rPr>
          <w:rFonts w:ascii="CMR12" w:hAnsi="CMR12"/>
        </w:rPr>
      </w:pPr>
      <w:r w:rsidRPr="003F75C1">
        <w:rPr>
          <w:rFonts w:ascii="CMR12" w:hAnsi="CMR12"/>
        </w:rPr>
        <w:t>Pilot stimuli table</w:t>
      </w:r>
      <w:r w:rsidR="00F80565" w:rsidRPr="003F75C1">
        <w:rPr>
          <w:rFonts w:ascii="CMR12" w:hAnsi="CMR12"/>
        </w:rPr>
        <w:t xml:space="preserve"> (</w:t>
      </w:r>
      <w:r w:rsidR="007800A5" w:rsidRPr="003F75C1">
        <w:rPr>
          <w:rFonts w:ascii="CMR12" w:hAnsi="CMR12"/>
        </w:rPr>
        <w:t>T</w:t>
      </w:r>
      <w:r w:rsidR="00F80565" w:rsidRPr="003F75C1">
        <w:rPr>
          <w:rFonts w:ascii="CMR12" w:hAnsi="CMR12"/>
        </w:rPr>
        <w:t>ranslated from Hebrew</w:t>
      </w:r>
      <w:r w:rsidR="007800A5" w:rsidRPr="003F75C1">
        <w:rPr>
          <w:rFonts w:ascii="CMR12" w:hAnsi="CMR12"/>
        </w:rPr>
        <w:t>. Based on: Abele &amp; Uchronski, 2008; Gilboa-Schechtman</w:t>
      </w:r>
      <w:r w:rsidR="0065260B">
        <w:rPr>
          <w:rFonts w:ascii="CMR12" w:hAnsi="CMR12"/>
          <w:lang w:val="en-US"/>
        </w:rPr>
        <w:t xml:space="preserve"> et al.</w:t>
      </w:r>
      <w:r w:rsidR="007800A5" w:rsidRPr="003F75C1">
        <w:rPr>
          <w:rFonts w:ascii="CMR12" w:hAnsi="CMR12"/>
        </w:rPr>
        <w:t>, 2017):</w:t>
      </w:r>
    </w:p>
    <w:tbl>
      <w:tblPr>
        <w:tblStyle w:val="TableGrid"/>
        <w:bidiVisual/>
        <w:tblW w:w="0" w:type="auto"/>
        <w:tblInd w:w="1222" w:type="dxa"/>
        <w:tblLook w:val="04A0" w:firstRow="1" w:lastRow="0" w:firstColumn="1" w:lastColumn="0" w:noHBand="0" w:noVBand="1"/>
      </w:tblPr>
      <w:tblGrid>
        <w:gridCol w:w="1836"/>
        <w:gridCol w:w="1976"/>
        <w:gridCol w:w="1836"/>
        <w:gridCol w:w="1702"/>
        <w:gridCol w:w="438"/>
      </w:tblGrid>
      <w:tr w:rsidR="00E371BC" w14:paraId="2C568186" w14:textId="77777777" w:rsidTr="00E371BC">
        <w:tc>
          <w:tcPr>
            <w:tcW w:w="1843" w:type="dxa"/>
          </w:tcPr>
          <w:p w14:paraId="2E4A7F46" w14:textId="35031EE5" w:rsidR="00D5161A" w:rsidRPr="003F75C1" w:rsidRDefault="00D5161A" w:rsidP="003F75C1">
            <w:pPr>
              <w:spacing w:line="360" w:lineRule="auto"/>
              <w:rPr>
                <w:rFonts w:ascii="CMR12" w:hAnsi="CMR12"/>
                <w:b/>
                <w:bCs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b/>
                <w:bCs/>
                <w:sz w:val="20"/>
                <w:szCs w:val="20"/>
              </w:rPr>
              <w:t>Low</w:t>
            </w:r>
            <w:r w:rsidR="00E371BC" w:rsidRPr="003F75C1">
              <w:rPr>
                <w:rFonts w:ascii="CMR12" w:hAnsi="CMR12"/>
                <w:b/>
                <w:bCs/>
                <w:sz w:val="20"/>
                <w:szCs w:val="20"/>
              </w:rPr>
              <w:t xml:space="preserve"> </w:t>
            </w:r>
            <w:r w:rsidRPr="003F75C1">
              <w:rPr>
                <w:rFonts w:ascii="CMR12" w:hAnsi="CMR12"/>
                <w:b/>
                <w:bCs/>
                <w:sz w:val="20"/>
                <w:szCs w:val="20"/>
              </w:rPr>
              <w:t>Dominance</w:t>
            </w:r>
          </w:p>
        </w:tc>
        <w:tc>
          <w:tcPr>
            <w:tcW w:w="1983" w:type="dxa"/>
          </w:tcPr>
          <w:p w14:paraId="7B0170C0" w14:textId="4C6F4CA9" w:rsidR="00D5161A" w:rsidRPr="003F75C1" w:rsidRDefault="00D5161A" w:rsidP="003F75C1">
            <w:pPr>
              <w:spacing w:line="360" w:lineRule="auto"/>
              <w:rPr>
                <w:rFonts w:ascii="CMR12" w:hAnsi="CMR12"/>
                <w:b/>
                <w:bCs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b/>
                <w:bCs/>
                <w:sz w:val="20"/>
                <w:szCs w:val="20"/>
              </w:rPr>
              <w:t>Low</w:t>
            </w:r>
            <w:r w:rsidR="00E371BC" w:rsidRPr="003F75C1">
              <w:rPr>
                <w:rFonts w:ascii="CMR12" w:hAnsi="CMR12"/>
                <w:b/>
                <w:bCs/>
                <w:sz w:val="20"/>
                <w:szCs w:val="20"/>
              </w:rPr>
              <w:t xml:space="preserve"> </w:t>
            </w:r>
            <w:r w:rsidRPr="003F75C1">
              <w:rPr>
                <w:rFonts w:ascii="CMR12" w:hAnsi="CMR12"/>
                <w:b/>
                <w:bCs/>
                <w:sz w:val="20"/>
                <w:szCs w:val="20"/>
              </w:rPr>
              <w:t>Affiliation</w:t>
            </w:r>
          </w:p>
        </w:tc>
        <w:tc>
          <w:tcPr>
            <w:tcW w:w="1842" w:type="dxa"/>
          </w:tcPr>
          <w:p w14:paraId="014F6B2B" w14:textId="60AA92FE" w:rsidR="00D5161A" w:rsidRPr="003F75C1" w:rsidRDefault="00D5161A" w:rsidP="003F75C1">
            <w:pPr>
              <w:spacing w:line="360" w:lineRule="auto"/>
              <w:rPr>
                <w:rFonts w:ascii="CMR12" w:hAnsi="CMR12"/>
                <w:b/>
                <w:bCs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b/>
                <w:bCs/>
                <w:sz w:val="20"/>
                <w:szCs w:val="20"/>
              </w:rPr>
              <w:t>High Dominance</w:t>
            </w:r>
          </w:p>
        </w:tc>
        <w:tc>
          <w:tcPr>
            <w:tcW w:w="1708" w:type="dxa"/>
          </w:tcPr>
          <w:p w14:paraId="5ECEF602" w14:textId="00717525" w:rsidR="00D5161A" w:rsidRPr="003F75C1" w:rsidRDefault="00D5161A" w:rsidP="003F75C1">
            <w:pPr>
              <w:spacing w:line="360" w:lineRule="auto"/>
              <w:rPr>
                <w:rFonts w:ascii="CMR12" w:hAnsi="CMR12"/>
                <w:b/>
                <w:bCs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b/>
                <w:bCs/>
                <w:sz w:val="20"/>
                <w:szCs w:val="20"/>
              </w:rPr>
              <w:t>High Affiliation</w:t>
            </w:r>
          </w:p>
        </w:tc>
        <w:tc>
          <w:tcPr>
            <w:tcW w:w="412" w:type="dxa"/>
          </w:tcPr>
          <w:p w14:paraId="44C09D11" w14:textId="00BEDC56" w:rsidR="00D5161A" w:rsidRPr="003F75C1" w:rsidRDefault="00D5161A" w:rsidP="003F75C1">
            <w:pPr>
              <w:spacing w:line="360" w:lineRule="auto"/>
              <w:rPr>
                <w:rFonts w:ascii="CMR12" w:hAnsi="CMR12"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#</w:t>
            </w:r>
          </w:p>
        </w:tc>
      </w:tr>
      <w:tr w:rsidR="00E371BC" w14:paraId="589085C9" w14:textId="77777777" w:rsidTr="00E371BC">
        <w:tc>
          <w:tcPr>
            <w:tcW w:w="1843" w:type="dxa"/>
          </w:tcPr>
          <w:p w14:paraId="0DB3BE2F" w14:textId="6EE1FB76" w:rsidR="00D5161A" w:rsidRPr="003F75C1" w:rsidRDefault="00F80565" w:rsidP="003F75C1">
            <w:pPr>
              <w:rPr>
                <w:rFonts w:ascii="CMR12" w:hAnsi="CMR12"/>
                <w:sz w:val="20"/>
                <w:szCs w:val="20"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Passive</w:t>
            </w:r>
          </w:p>
        </w:tc>
        <w:tc>
          <w:tcPr>
            <w:tcW w:w="1983" w:type="dxa"/>
          </w:tcPr>
          <w:p w14:paraId="4393D602" w14:textId="33E321C2" w:rsidR="00D5161A" w:rsidRPr="003F75C1" w:rsidRDefault="00D5161A" w:rsidP="003F75C1">
            <w:pPr>
              <w:bidi/>
              <w:jc w:val="right"/>
              <w:rPr>
                <w:rFonts w:ascii="CMR12" w:hAnsi="CMR12"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Egoistic</w:t>
            </w:r>
          </w:p>
        </w:tc>
        <w:tc>
          <w:tcPr>
            <w:tcW w:w="1842" w:type="dxa"/>
          </w:tcPr>
          <w:p w14:paraId="1985E8C4" w14:textId="20E85062" w:rsidR="00D5161A" w:rsidRPr="003F75C1" w:rsidRDefault="00D5161A" w:rsidP="003F75C1">
            <w:pPr>
              <w:bidi/>
              <w:jc w:val="right"/>
              <w:rPr>
                <w:rFonts w:ascii="CMR12" w:hAnsi="CMR12"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Assertive</w:t>
            </w:r>
          </w:p>
        </w:tc>
        <w:tc>
          <w:tcPr>
            <w:tcW w:w="1708" w:type="dxa"/>
          </w:tcPr>
          <w:p w14:paraId="413F591B" w14:textId="117245BC" w:rsidR="00D5161A" w:rsidRPr="003F75C1" w:rsidRDefault="00D5161A" w:rsidP="003F75C1">
            <w:pPr>
              <w:bidi/>
              <w:jc w:val="right"/>
              <w:rPr>
                <w:rFonts w:ascii="CMR12" w:hAnsi="CMR12"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Kind</w:t>
            </w:r>
          </w:p>
        </w:tc>
        <w:tc>
          <w:tcPr>
            <w:tcW w:w="412" w:type="dxa"/>
          </w:tcPr>
          <w:p w14:paraId="364A3999" w14:textId="2762F8B8" w:rsidR="00D5161A" w:rsidRPr="003F75C1" w:rsidRDefault="00D5161A" w:rsidP="003F75C1">
            <w:pPr>
              <w:bidi/>
              <w:jc w:val="center"/>
              <w:rPr>
                <w:rFonts w:ascii="CMR12" w:hAnsi="CMR12"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1</w:t>
            </w:r>
          </w:p>
        </w:tc>
      </w:tr>
      <w:tr w:rsidR="00E371BC" w14:paraId="0444C21B" w14:textId="77777777" w:rsidTr="00E371BC">
        <w:tc>
          <w:tcPr>
            <w:tcW w:w="1843" w:type="dxa"/>
          </w:tcPr>
          <w:p w14:paraId="3B695CBE" w14:textId="05A03DA6" w:rsidR="00D5161A" w:rsidRPr="003F75C1" w:rsidRDefault="00F80565" w:rsidP="003F75C1">
            <w:pPr>
              <w:rPr>
                <w:rFonts w:ascii="CMR12" w:hAnsi="CMR12"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Loser</w:t>
            </w:r>
          </w:p>
        </w:tc>
        <w:tc>
          <w:tcPr>
            <w:tcW w:w="1983" w:type="dxa"/>
          </w:tcPr>
          <w:p w14:paraId="5417AE01" w14:textId="012050DC" w:rsidR="00D5161A" w:rsidRPr="003F75C1" w:rsidRDefault="00D5161A" w:rsidP="003F75C1">
            <w:pPr>
              <w:rPr>
                <w:rFonts w:ascii="CMR12" w:hAnsi="CMR12"/>
                <w:sz w:val="20"/>
                <w:szCs w:val="20"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Apathic</w:t>
            </w:r>
          </w:p>
        </w:tc>
        <w:tc>
          <w:tcPr>
            <w:tcW w:w="1842" w:type="dxa"/>
          </w:tcPr>
          <w:p w14:paraId="2B7B330F" w14:textId="309BE033" w:rsidR="00D5161A" w:rsidRPr="003F75C1" w:rsidRDefault="00D5161A" w:rsidP="003F75C1">
            <w:pPr>
              <w:rPr>
                <w:rFonts w:ascii="CMR12" w:hAnsi="CMR12"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Prominent</w:t>
            </w:r>
          </w:p>
        </w:tc>
        <w:tc>
          <w:tcPr>
            <w:tcW w:w="1708" w:type="dxa"/>
          </w:tcPr>
          <w:p w14:paraId="30627FFF" w14:textId="2283160A" w:rsidR="00D5161A" w:rsidRPr="003F75C1" w:rsidRDefault="00D5161A" w:rsidP="003F75C1">
            <w:pPr>
              <w:rPr>
                <w:rFonts w:ascii="CMR12" w:hAnsi="CMR12"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Empathic</w:t>
            </w:r>
          </w:p>
        </w:tc>
        <w:tc>
          <w:tcPr>
            <w:tcW w:w="412" w:type="dxa"/>
          </w:tcPr>
          <w:p w14:paraId="4DD5204B" w14:textId="1AEC6178" w:rsidR="00D5161A" w:rsidRPr="003F75C1" w:rsidRDefault="00D5161A" w:rsidP="003F75C1">
            <w:pPr>
              <w:rPr>
                <w:rFonts w:ascii="CMR12" w:hAnsi="CMR12"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2</w:t>
            </w:r>
          </w:p>
        </w:tc>
      </w:tr>
      <w:tr w:rsidR="00E371BC" w14:paraId="3EA8DFD7" w14:textId="77777777" w:rsidTr="00E371BC">
        <w:tc>
          <w:tcPr>
            <w:tcW w:w="1843" w:type="dxa"/>
          </w:tcPr>
          <w:p w14:paraId="5CD725A7" w14:textId="68B817AE" w:rsidR="00D5161A" w:rsidRPr="003F75C1" w:rsidRDefault="00F80565" w:rsidP="003F75C1">
            <w:pPr>
              <w:rPr>
                <w:rFonts w:ascii="CMR12" w:hAnsi="CMR12"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Submissive</w:t>
            </w:r>
          </w:p>
        </w:tc>
        <w:tc>
          <w:tcPr>
            <w:tcW w:w="1983" w:type="dxa"/>
          </w:tcPr>
          <w:p w14:paraId="44CC5913" w14:textId="735AA5F7" w:rsidR="00D5161A" w:rsidRPr="003F75C1" w:rsidRDefault="00D5161A" w:rsidP="003F75C1">
            <w:pPr>
              <w:rPr>
                <w:rFonts w:ascii="CMR12" w:hAnsi="CMR12"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Disconnected</w:t>
            </w:r>
          </w:p>
        </w:tc>
        <w:tc>
          <w:tcPr>
            <w:tcW w:w="1842" w:type="dxa"/>
          </w:tcPr>
          <w:p w14:paraId="6E820CD5" w14:textId="4F7B076F" w:rsidR="00D5161A" w:rsidRPr="003F75C1" w:rsidRDefault="00D5161A" w:rsidP="003F75C1">
            <w:pPr>
              <w:rPr>
                <w:rFonts w:ascii="CMR12" w:hAnsi="CMR12"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Proud</w:t>
            </w:r>
          </w:p>
        </w:tc>
        <w:tc>
          <w:tcPr>
            <w:tcW w:w="1708" w:type="dxa"/>
          </w:tcPr>
          <w:p w14:paraId="0E334CE8" w14:textId="7BC426EE" w:rsidR="00D5161A" w:rsidRPr="003F75C1" w:rsidRDefault="00D5161A" w:rsidP="003F75C1">
            <w:pPr>
              <w:rPr>
                <w:rFonts w:ascii="CMR12" w:hAnsi="CMR12"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Good-Hearted</w:t>
            </w:r>
          </w:p>
        </w:tc>
        <w:tc>
          <w:tcPr>
            <w:tcW w:w="412" w:type="dxa"/>
          </w:tcPr>
          <w:p w14:paraId="611A07C4" w14:textId="7963FC07" w:rsidR="00D5161A" w:rsidRPr="003F75C1" w:rsidRDefault="00D5161A" w:rsidP="003F75C1">
            <w:pPr>
              <w:rPr>
                <w:rFonts w:ascii="CMR12" w:hAnsi="CMR12"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3</w:t>
            </w:r>
          </w:p>
        </w:tc>
      </w:tr>
      <w:tr w:rsidR="00E371BC" w14:paraId="54A70083" w14:textId="77777777" w:rsidTr="00E371BC">
        <w:tc>
          <w:tcPr>
            <w:tcW w:w="1843" w:type="dxa"/>
          </w:tcPr>
          <w:p w14:paraId="6FA01BAF" w14:textId="4EF17AFF" w:rsidR="00D5161A" w:rsidRPr="003F75C1" w:rsidRDefault="00E64BE7" w:rsidP="003F75C1">
            <w:pPr>
              <w:rPr>
                <w:rFonts w:ascii="CMR12" w:hAnsi="CMR12"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Ridiculous</w:t>
            </w:r>
          </w:p>
        </w:tc>
        <w:tc>
          <w:tcPr>
            <w:tcW w:w="1983" w:type="dxa"/>
          </w:tcPr>
          <w:p w14:paraId="6C530DF2" w14:textId="35A6302B" w:rsidR="00D5161A" w:rsidRPr="003F75C1" w:rsidRDefault="00D5161A" w:rsidP="003F75C1">
            <w:pPr>
              <w:rPr>
                <w:rFonts w:ascii="CMR12" w:hAnsi="CMR12"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Distant</w:t>
            </w:r>
          </w:p>
        </w:tc>
        <w:tc>
          <w:tcPr>
            <w:tcW w:w="1842" w:type="dxa"/>
          </w:tcPr>
          <w:p w14:paraId="494AE30B" w14:textId="6B7A0AC0" w:rsidR="00D5161A" w:rsidRPr="003F75C1" w:rsidRDefault="00D5161A" w:rsidP="003F75C1">
            <w:pPr>
              <w:rPr>
                <w:rFonts w:ascii="CMR12" w:hAnsi="CMR12"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Dominant</w:t>
            </w:r>
          </w:p>
        </w:tc>
        <w:tc>
          <w:tcPr>
            <w:tcW w:w="1708" w:type="dxa"/>
          </w:tcPr>
          <w:p w14:paraId="58F4E6A6" w14:textId="08D0D0BE" w:rsidR="00D5161A" w:rsidRPr="003F75C1" w:rsidRDefault="00D5161A" w:rsidP="003F75C1">
            <w:pPr>
              <w:rPr>
                <w:rFonts w:ascii="CMR12" w:hAnsi="CMR12"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Conside</w:t>
            </w:r>
            <w:r w:rsidR="00031627" w:rsidRPr="003F75C1">
              <w:rPr>
                <w:rFonts w:ascii="CMR12" w:hAnsi="CMR12"/>
                <w:sz w:val="20"/>
                <w:szCs w:val="20"/>
              </w:rPr>
              <w:t>rate</w:t>
            </w:r>
          </w:p>
        </w:tc>
        <w:tc>
          <w:tcPr>
            <w:tcW w:w="412" w:type="dxa"/>
          </w:tcPr>
          <w:p w14:paraId="46415D59" w14:textId="0BC884AB" w:rsidR="00D5161A" w:rsidRPr="003F75C1" w:rsidRDefault="00D5161A" w:rsidP="003F75C1">
            <w:pPr>
              <w:rPr>
                <w:rFonts w:ascii="CMR12" w:hAnsi="CMR12"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4</w:t>
            </w:r>
          </w:p>
        </w:tc>
      </w:tr>
      <w:tr w:rsidR="00E371BC" w14:paraId="3C62ACAE" w14:textId="77777777" w:rsidTr="00E371BC">
        <w:tc>
          <w:tcPr>
            <w:tcW w:w="1843" w:type="dxa"/>
          </w:tcPr>
          <w:p w14:paraId="25CB91FC" w14:textId="2AA5FFCA" w:rsidR="00D5161A" w:rsidRPr="003F75C1" w:rsidRDefault="00E64BE7" w:rsidP="003F75C1">
            <w:pPr>
              <w:rPr>
                <w:rFonts w:ascii="CMR12" w:hAnsi="CMR12"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Pathetic</w:t>
            </w:r>
          </w:p>
        </w:tc>
        <w:tc>
          <w:tcPr>
            <w:tcW w:w="1983" w:type="dxa"/>
          </w:tcPr>
          <w:p w14:paraId="0DAC35B6" w14:textId="24950DAD" w:rsidR="00D5161A" w:rsidRPr="003F75C1" w:rsidRDefault="00D5161A" w:rsidP="003F75C1">
            <w:pPr>
              <w:rPr>
                <w:rFonts w:ascii="CMR12" w:hAnsi="CMR12"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Nasty</w:t>
            </w:r>
          </w:p>
        </w:tc>
        <w:tc>
          <w:tcPr>
            <w:tcW w:w="1842" w:type="dxa"/>
          </w:tcPr>
          <w:p w14:paraId="22952D55" w14:textId="09A2592B" w:rsidR="00D5161A" w:rsidRPr="003F75C1" w:rsidRDefault="00D5161A" w:rsidP="003F75C1">
            <w:pPr>
              <w:rPr>
                <w:rFonts w:ascii="CMR12" w:hAnsi="CMR12"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Decisive</w:t>
            </w:r>
          </w:p>
        </w:tc>
        <w:tc>
          <w:tcPr>
            <w:tcW w:w="1708" w:type="dxa"/>
          </w:tcPr>
          <w:p w14:paraId="4FF8E1C8" w14:textId="7D1DDE2B" w:rsidR="00D5161A" w:rsidRPr="003F75C1" w:rsidRDefault="00D5161A" w:rsidP="003F75C1">
            <w:pPr>
              <w:rPr>
                <w:rFonts w:ascii="CMR12" w:hAnsi="CMR12"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Nice</w:t>
            </w:r>
          </w:p>
        </w:tc>
        <w:tc>
          <w:tcPr>
            <w:tcW w:w="412" w:type="dxa"/>
          </w:tcPr>
          <w:p w14:paraId="19FA8F93" w14:textId="26964BCB" w:rsidR="00D5161A" w:rsidRPr="003F75C1" w:rsidRDefault="00D5161A" w:rsidP="003F75C1">
            <w:pPr>
              <w:rPr>
                <w:rFonts w:ascii="CMR12" w:hAnsi="CMR12"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5</w:t>
            </w:r>
          </w:p>
        </w:tc>
      </w:tr>
      <w:tr w:rsidR="00E371BC" w14:paraId="2F55D0E6" w14:textId="77777777" w:rsidTr="00E371BC">
        <w:tc>
          <w:tcPr>
            <w:tcW w:w="1843" w:type="dxa"/>
          </w:tcPr>
          <w:p w14:paraId="3087647B" w14:textId="4A64B174" w:rsidR="00D5161A" w:rsidRPr="003F75C1" w:rsidRDefault="00E64BE7" w:rsidP="003F75C1">
            <w:pPr>
              <w:rPr>
                <w:rFonts w:ascii="CMR12" w:hAnsi="CMR12"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Lame</w:t>
            </w:r>
          </w:p>
        </w:tc>
        <w:tc>
          <w:tcPr>
            <w:tcW w:w="1983" w:type="dxa"/>
          </w:tcPr>
          <w:p w14:paraId="55269148" w14:textId="2DCF4D28" w:rsidR="00D5161A" w:rsidRPr="003F75C1" w:rsidRDefault="00D5161A" w:rsidP="003F75C1">
            <w:pPr>
              <w:rPr>
                <w:rFonts w:ascii="CMR12" w:hAnsi="CMR12"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Loner</w:t>
            </w:r>
          </w:p>
        </w:tc>
        <w:tc>
          <w:tcPr>
            <w:tcW w:w="1842" w:type="dxa"/>
          </w:tcPr>
          <w:p w14:paraId="43A065C0" w14:textId="728E8DF4" w:rsidR="00D5161A" w:rsidRPr="003F75C1" w:rsidRDefault="00D5161A" w:rsidP="003F75C1">
            <w:pPr>
              <w:rPr>
                <w:rFonts w:ascii="CMR12" w:hAnsi="CMR12"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Strong</w:t>
            </w:r>
          </w:p>
        </w:tc>
        <w:tc>
          <w:tcPr>
            <w:tcW w:w="1708" w:type="dxa"/>
          </w:tcPr>
          <w:p w14:paraId="7B6C547B" w14:textId="4CE03576" w:rsidR="00D5161A" w:rsidRPr="003F75C1" w:rsidRDefault="00D5161A" w:rsidP="003F75C1">
            <w:pPr>
              <w:rPr>
                <w:rFonts w:ascii="CMR12" w:hAnsi="CMR12"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Pleasant</w:t>
            </w:r>
          </w:p>
        </w:tc>
        <w:tc>
          <w:tcPr>
            <w:tcW w:w="412" w:type="dxa"/>
          </w:tcPr>
          <w:p w14:paraId="05F1FBCE" w14:textId="6EE68302" w:rsidR="00D5161A" w:rsidRPr="003F75C1" w:rsidRDefault="00D5161A" w:rsidP="003F75C1">
            <w:pPr>
              <w:rPr>
                <w:rFonts w:ascii="CMR12" w:hAnsi="CMR12"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6</w:t>
            </w:r>
          </w:p>
        </w:tc>
      </w:tr>
      <w:tr w:rsidR="00E371BC" w14:paraId="27B00956" w14:textId="77777777" w:rsidTr="00E371BC">
        <w:tc>
          <w:tcPr>
            <w:tcW w:w="1843" w:type="dxa"/>
          </w:tcPr>
          <w:p w14:paraId="0A3BD0D7" w14:textId="6DB69BA3" w:rsidR="00D5161A" w:rsidRPr="003F75C1" w:rsidRDefault="00E64BE7" w:rsidP="003F75C1">
            <w:pPr>
              <w:rPr>
                <w:rFonts w:ascii="CMR12" w:hAnsi="CMR12"/>
                <w:sz w:val="20"/>
                <w:szCs w:val="20"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Coward</w:t>
            </w:r>
          </w:p>
        </w:tc>
        <w:tc>
          <w:tcPr>
            <w:tcW w:w="1983" w:type="dxa"/>
          </w:tcPr>
          <w:p w14:paraId="33C76DF2" w14:textId="63F6DC14" w:rsidR="00D5161A" w:rsidRPr="003F75C1" w:rsidRDefault="00D5161A" w:rsidP="003F75C1">
            <w:pPr>
              <w:bidi/>
              <w:jc w:val="right"/>
              <w:rPr>
                <w:rFonts w:ascii="CMR12" w:hAnsi="CMR12"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Cold</w:t>
            </w:r>
          </w:p>
        </w:tc>
        <w:tc>
          <w:tcPr>
            <w:tcW w:w="1842" w:type="dxa"/>
          </w:tcPr>
          <w:p w14:paraId="04D1AC58" w14:textId="0DBC588A" w:rsidR="00D5161A" w:rsidRPr="003F75C1" w:rsidRDefault="00D5161A" w:rsidP="003F75C1">
            <w:pPr>
              <w:bidi/>
              <w:jc w:val="right"/>
              <w:rPr>
                <w:rFonts w:ascii="CMR12" w:hAnsi="CMR12"/>
                <w:sz w:val="20"/>
                <w:szCs w:val="20"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Charismatic</w:t>
            </w:r>
          </w:p>
        </w:tc>
        <w:tc>
          <w:tcPr>
            <w:tcW w:w="1708" w:type="dxa"/>
          </w:tcPr>
          <w:p w14:paraId="7ACD4DC2" w14:textId="60683F4E" w:rsidR="00D5161A" w:rsidRPr="003F75C1" w:rsidRDefault="00D5161A" w:rsidP="003F75C1">
            <w:pPr>
              <w:bidi/>
              <w:jc w:val="right"/>
              <w:rPr>
                <w:rFonts w:ascii="CMR12" w:hAnsi="CMR12"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Tolerant</w:t>
            </w:r>
          </w:p>
        </w:tc>
        <w:tc>
          <w:tcPr>
            <w:tcW w:w="412" w:type="dxa"/>
          </w:tcPr>
          <w:p w14:paraId="312D089C" w14:textId="1C3CE2E2" w:rsidR="00D5161A" w:rsidRPr="003F75C1" w:rsidRDefault="00D5161A" w:rsidP="003F75C1">
            <w:pPr>
              <w:bidi/>
              <w:jc w:val="center"/>
              <w:rPr>
                <w:rFonts w:ascii="CMR12" w:hAnsi="CMR12"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7</w:t>
            </w:r>
          </w:p>
        </w:tc>
      </w:tr>
      <w:tr w:rsidR="00E371BC" w14:paraId="2D84F551" w14:textId="77777777" w:rsidTr="00E371BC">
        <w:tc>
          <w:tcPr>
            <w:tcW w:w="1843" w:type="dxa"/>
          </w:tcPr>
          <w:p w14:paraId="06E06B3C" w14:textId="7E4BC3A6" w:rsidR="00D5161A" w:rsidRPr="003F75C1" w:rsidRDefault="00E64BE7" w:rsidP="003F75C1">
            <w:pPr>
              <w:rPr>
                <w:rFonts w:ascii="CMR12" w:hAnsi="CMR12"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Humiliated</w:t>
            </w:r>
          </w:p>
        </w:tc>
        <w:tc>
          <w:tcPr>
            <w:tcW w:w="1983" w:type="dxa"/>
          </w:tcPr>
          <w:p w14:paraId="6A7E9D28" w14:textId="0B92CDBE" w:rsidR="00D5161A" w:rsidRPr="003F75C1" w:rsidRDefault="00D5161A" w:rsidP="003F75C1">
            <w:pPr>
              <w:rPr>
                <w:rFonts w:ascii="CMR12" w:hAnsi="CMR12"/>
                <w:sz w:val="20"/>
                <w:szCs w:val="20"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Impervious</w:t>
            </w:r>
          </w:p>
        </w:tc>
        <w:tc>
          <w:tcPr>
            <w:tcW w:w="1842" w:type="dxa"/>
          </w:tcPr>
          <w:p w14:paraId="166008DC" w14:textId="2EA5332D" w:rsidR="00D5161A" w:rsidRPr="003F75C1" w:rsidRDefault="00D5161A" w:rsidP="003F75C1">
            <w:pPr>
              <w:rPr>
                <w:rFonts w:ascii="CMR12" w:hAnsi="CMR12"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Leader</w:t>
            </w:r>
          </w:p>
        </w:tc>
        <w:tc>
          <w:tcPr>
            <w:tcW w:w="1708" w:type="dxa"/>
          </w:tcPr>
          <w:p w14:paraId="7D40A707" w14:textId="02D424E2" w:rsidR="00D5161A" w:rsidRPr="003F75C1" w:rsidRDefault="00D5161A" w:rsidP="003F75C1">
            <w:pPr>
              <w:rPr>
                <w:rFonts w:ascii="CMR12" w:hAnsi="CMR12"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Supportive</w:t>
            </w:r>
          </w:p>
        </w:tc>
        <w:tc>
          <w:tcPr>
            <w:tcW w:w="412" w:type="dxa"/>
          </w:tcPr>
          <w:p w14:paraId="34549FD8" w14:textId="0EA2EEBC" w:rsidR="00D5161A" w:rsidRPr="003F75C1" w:rsidRDefault="00D5161A" w:rsidP="003F75C1">
            <w:pPr>
              <w:rPr>
                <w:rFonts w:ascii="CMR12" w:hAnsi="CMR12"/>
                <w:sz w:val="20"/>
                <w:szCs w:val="20"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8</w:t>
            </w:r>
          </w:p>
        </w:tc>
      </w:tr>
      <w:tr w:rsidR="00E371BC" w14:paraId="3791967A" w14:textId="77777777" w:rsidTr="00E371BC">
        <w:tc>
          <w:tcPr>
            <w:tcW w:w="1843" w:type="dxa"/>
          </w:tcPr>
          <w:p w14:paraId="60C3E1B7" w14:textId="7F89F20B" w:rsidR="00D5161A" w:rsidRPr="003F75C1" w:rsidRDefault="00E64BE7" w:rsidP="003F75C1">
            <w:pPr>
              <w:rPr>
                <w:rFonts w:ascii="CMR12" w:hAnsi="CMR12"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Inferior</w:t>
            </w:r>
          </w:p>
        </w:tc>
        <w:tc>
          <w:tcPr>
            <w:tcW w:w="1983" w:type="dxa"/>
          </w:tcPr>
          <w:p w14:paraId="55B719A6" w14:textId="6B2A77D9" w:rsidR="00D5161A" w:rsidRPr="003F75C1" w:rsidRDefault="00D5161A" w:rsidP="003F75C1">
            <w:pPr>
              <w:rPr>
                <w:rFonts w:ascii="CMR12" w:hAnsi="CMR12"/>
                <w:sz w:val="20"/>
                <w:szCs w:val="20"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Sarcastic</w:t>
            </w:r>
          </w:p>
        </w:tc>
        <w:tc>
          <w:tcPr>
            <w:tcW w:w="1842" w:type="dxa"/>
          </w:tcPr>
          <w:p w14:paraId="6C5FCBEB" w14:textId="7961F887" w:rsidR="00D5161A" w:rsidRPr="003F75C1" w:rsidRDefault="00D5161A" w:rsidP="003F75C1">
            <w:pPr>
              <w:rPr>
                <w:rFonts w:ascii="CMR12" w:hAnsi="CMR12"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Successful</w:t>
            </w:r>
          </w:p>
        </w:tc>
        <w:tc>
          <w:tcPr>
            <w:tcW w:w="1708" w:type="dxa"/>
          </w:tcPr>
          <w:p w14:paraId="321EF5AD" w14:textId="218A8963" w:rsidR="00D5161A" w:rsidRPr="003F75C1" w:rsidRDefault="00D5161A" w:rsidP="003F75C1">
            <w:pPr>
              <w:rPr>
                <w:rFonts w:ascii="CMR12" w:hAnsi="CMR12"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Help</w:t>
            </w:r>
            <w:r w:rsidR="00031627" w:rsidRPr="003F75C1">
              <w:rPr>
                <w:rFonts w:ascii="CMR12" w:hAnsi="CMR12"/>
                <w:sz w:val="20"/>
                <w:szCs w:val="20"/>
              </w:rPr>
              <w:t>ful</w:t>
            </w:r>
          </w:p>
        </w:tc>
        <w:tc>
          <w:tcPr>
            <w:tcW w:w="412" w:type="dxa"/>
          </w:tcPr>
          <w:p w14:paraId="68C3B8B3" w14:textId="1BAD5CF8" w:rsidR="00D5161A" w:rsidRPr="003F75C1" w:rsidRDefault="00D5161A" w:rsidP="003F75C1">
            <w:pPr>
              <w:rPr>
                <w:rFonts w:ascii="CMR12" w:hAnsi="CMR12"/>
                <w:sz w:val="20"/>
                <w:szCs w:val="20"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9</w:t>
            </w:r>
          </w:p>
        </w:tc>
      </w:tr>
      <w:tr w:rsidR="00E371BC" w14:paraId="405FC64C" w14:textId="77777777" w:rsidTr="00E371BC">
        <w:tc>
          <w:tcPr>
            <w:tcW w:w="1843" w:type="dxa"/>
          </w:tcPr>
          <w:p w14:paraId="67468BED" w14:textId="48AA6897" w:rsidR="00D5161A" w:rsidRPr="003F75C1" w:rsidRDefault="00E64BE7" w:rsidP="003F75C1">
            <w:pPr>
              <w:rPr>
                <w:rFonts w:ascii="CMR12" w:hAnsi="CMR12"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No One</w:t>
            </w:r>
          </w:p>
        </w:tc>
        <w:tc>
          <w:tcPr>
            <w:tcW w:w="1983" w:type="dxa"/>
          </w:tcPr>
          <w:p w14:paraId="1872F97D" w14:textId="00EEC61A" w:rsidR="00D5161A" w:rsidRPr="003F75C1" w:rsidRDefault="00F80565" w:rsidP="003F75C1">
            <w:pPr>
              <w:rPr>
                <w:rFonts w:ascii="CMR12" w:hAnsi="CMR12"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Alienated</w:t>
            </w:r>
          </w:p>
        </w:tc>
        <w:tc>
          <w:tcPr>
            <w:tcW w:w="1842" w:type="dxa"/>
          </w:tcPr>
          <w:p w14:paraId="0DD9E397" w14:textId="43487335" w:rsidR="00D5161A" w:rsidRPr="003F75C1" w:rsidRDefault="00D5161A" w:rsidP="003F75C1">
            <w:pPr>
              <w:rPr>
                <w:rFonts w:ascii="CMR12" w:hAnsi="CMR12"/>
                <w:sz w:val="20"/>
                <w:szCs w:val="20"/>
                <w:rtl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Influe</w:t>
            </w:r>
            <w:r w:rsidR="00FE10A6" w:rsidRPr="003F75C1">
              <w:rPr>
                <w:rFonts w:ascii="CMR12" w:hAnsi="CMR12"/>
                <w:sz w:val="20"/>
                <w:szCs w:val="20"/>
              </w:rPr>
              <w:t>ntial</w:t>
            </w:r>
          </w:p>
        </w:tc>
        <w:tc>
          <w:tcPr>
            <w:tcW w:w="1708" w:type="dxa"/>
          </w:tcPr>
          <w:p w14:paraId="7AFCCDA7" w14:textId="7AF8077A" w:rsidR="00D5161A" w:rsidRPr="003F75C1" w:rsidRDefault="00D5161A" w:rsidP="003F75C1">
            <w:pPr>
              <w:rPr>
                <w:rFonts w:ascii="CMR12" w:hAnsi="CMR12"/>
                <w:sz w:val="20"/>
                <w:szCs w:val="20"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Attentive</w:t>
            </w:r>
          </w:p>
        </w:tc>
        <w:tc>
          <w:tcPr>
            <w:tcW w:w="412" w:type="dxa"/>
          </w:tcPr>
          <w:p w14:paraId="4F6A698B" w14:textId="4061C8D7" w:rsidR="00D5161A" w:rsidRPr="003F75C1" w:rsidRDefault="00D5161A" w:rsidP="003F75C1">
            <w:pPr>
              <w:rPr>
                <w:rFonts w:ascii="CMR12" w:hAnsi="CMR12"/>
                <w:sz w:val="20"/>
                <w:szCs w:val="20"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10</w:t>
            </w:r>
          </w:p>
        </w:tc>
      </w:tr>
      <w:tr w:rsidR="00E371BC" w14:paraId="7C7AD0A3" w14:textId="77777777" w:rsidTr="00E371BC">
        <w:tc>
          <w:tcPr>
            <w:tcW w:w="1843" w:type="dxa"/>
          </w:tcPr>
          <w:p w14:paraId="3547326B" w14:textId="41902BC1" w:rsidR="00D5161A" w:rsidRPr="003F75C1" w:rsidRDefault="00E64BE7" w:rsidP="003F75C1">
            <w:pPr>
              <w:rPr>
                <w:rFonts w:ascii="CMR12" w:hAnsi="CMR12"/>
                <w:sz w:val="20"/>
                <w:szCs w:val="20"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Easily affected</w:t>
            </w:r>
          </w:p>
        </w:tc>
        <w:tc>
          <w:tcPr>
            <w:tcW w:w="1983" w:type="dxa"/>
          </w:tcPr>
          <w:p w14:paraId="0766006D" w14:textId="1739CA06" w:rsidR="00D5161A" w:rsidRPr="003F75C1" w:rsidRDefault="003F75C1" w:rsidP="003F75C1">
            <w:pPr>
              <w:bidi/>
              <w:jc w:val="right"/>
              <w:rPr>
                <w:rFonts w:ascii="CMR12" w:hAnsi="CMR12"/>
                <w:sz w:val="20"/>
                <w:szCs w:val="20"/>
                <w:rtl/>
                <w:lang w:val="en-US"/>
              </w:rPr>
            </w:pPr>
            <w:r>
              <w:rPr>
                <w:rFonts w:ascii="CMR12" w:hAnsi="CMR12"/>
                <w:sz w:val="20"/>
                <w:szCs w:val="20"/>
                <w:lang w:val="en-US"/>
              </w:rPr>
              <w:t>Aloof</w:t>
            </w:r>
          </w:p>
        </w:tc>
        <w:tc>
          <w:tcPr>
            <w:tcW w:w="1842" w:type="dxa"/>
          </w:tcPr>
          <w:p w14:paraId="6F2B08FF" w14:textId="3BC9D15D" w:rsidR="00D5161A" w:rsidRPr="003F75C1" w:rsidRDefault="00D5161A" w:rsidP="003F75C1">
            <w:pPr>
              <w:rPr>
                <w:rFonts w:ascii="CMR12" w:hAnsi="CMR12"/>
                <w:sz w:val="20"/>
                <w:szCs w:val="20"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Authoritative</w:t>
            </w:r>
          </w:p>
        </w:tc>
        <w:tc>
          <w:tcPr>
            <w:tcW w:w="1708" w:type="dxa"/>
          </w:tcPr>
          <w:p w14:paraId="61050FB4" w14:textId="5634E3E1" w:rsidR="00D5161A" w:rsidRPr="003F75C1" w:rsidRDefault="00F80565" w:rsidP="003F75C1">
            <w:pPr>
              <w:rPr>
                <w:rFonts w:ascii="CMR12" w:hAnsi="CMR12"/>
                <w:sz w:val="20"/>
                <w:szCs w:val="20"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Listener</w:t>
            </w:r>
          </w:p>
        </w:tc>
        <w:tc>
          <w:tcPr>
            <w:tcW w:w="412" w:type="dxa"/>
          </w:tcPr>
          <w:p w14:paraId="1A3849FB" w14:textId="1E6AC2C6" w:rsidR="00D5161A" w:rsidRPr="003F75C1" w:rsidRDefault="00D5161A" w:rsidP="003F75C1">
            <w:pPr>
              <w:bidi/>
              <w:jc w:val="center"/>
              <w:rPr>
                <w:rFonts w:ascii="CMR12" w:hAnsi="CMR12"/>
                <w:sz w:val="20"/>
                <w:szCs w:val="20"/>
              </w:rPr>
            </w:pPr>
            <w:r w:rsidRPr="003F75C1">
              <w:rPr>
                <w:rFonts w:ascii="CMR12" w:hAnsi="CMR12"/>
                <w:sz w:val="20"/>
                <w:szCs w:val="20"/>
              </w:rPr>
              <w:t>11</w:t>
            </w:r>
          </w:p>
        </w:tc>
      </w:tr>
    </w:tbl>
    <w:p w14:paraId="43424542" w14:textId="77777777" w:rsidR="00E64BE7" w:rsidRDefault="00E64BE7" w:rsidP="00B2049A">
      <w:pPr>
        <w:spacing w:line="360" w:lineRule="auto"/>
        <w:rPr>
          <w:sz w:val="20"/>
          <w:szCs w:val="20"/>
        </w:rPr>
      </w:pPr>
    </w:p>
    <w:p w14:paraId="0CE08FBC" w14:textId="1DF6D94B" w:rsidR="00312CA8" w:rsidRPr="00F308C2" w:rsidRDefault="00312CA8" w:rsidP="00F308C2">
      <w:pPr>
        <w:spacing w:line="360" w:lineRule="auto"/>
        <w:rPr>
          <w:sz w:val="20"/>
          <w:szCs w:val="20"/>
          <w:lang w:val="en-US"/>
        </w:rPr>
      </w:pPr>
    </w:p>
    <w:p w14:paraId="21FADC5A" w14:textId="2FE434D3" w:rsidR="00312CA8" w:rsidRDefault="00312CA8" w:rsidP="00B2049A">
      <w:pPr>
        <w:spacing w:line="360" w:lineRule="auto"/>
        <w:rPr>
          <w:sz w:val="20"/>
          <w:szCs w:val="20"/>
        </w:rPr>
      </w:pPr>
    </w:p>
    <w:p w14:paraId="08DCDAF7" w14:textId="22AED475" w:rsidR="00532658" w:rsidRDefault="00532658" w:rsidP="00532658">
      <w:pPr>
        <w:spacing w:line="360" w:lineRule="auto"/>
      </w:pPr>
    </w:p>
    <w:p w14:paraId="2D1B2B04" w14:textId="382D2E7E" w:rsidR="00031627" w:rsidRDefault="00031627" w:rsidP="00031627">
      <w:pPr>
        <w:spacing w:line="360" w:lineRule="auto"/>
        <w:rPr>
          <w:lang w:val="en-US"/>
        </w:rPr>
      </w:pPr>
    </w:p>
    <w:p w14:paraId="60CB4B1B" w14:textId="77777777" w:rsidR="00312CA8" w:rsidRPr="005D1D3A" w:rsidRDefault="00312CA8" w:rsidP="00B2049A">
      <w:pPr>
        <w:spacing w:line="360" w:lineRule="auto"/>
        <w:rPr>
          <w:sz w:val="20"/>
          <w:szCs w:val="20"/>
          <w:lang w:val="en-US"/>
        </w:rPr>
      </w:pPr>
    </w:p>
    <w:p w14:paraId="0E1CC3C9" w14:textId="008FBE1B" w:rsidR="00B2049A" w:rsidRDefault="00B2049A" w:rsidP="00B2049A">
      <w:pPr>
        <w:spacing w:line="360" w:lineRule="auto"/>
        <w:rPr>
          <w:sz w:val="20"/>
          <w:szCs w:val="20"/>
        </w:rPr>
      </w:pPr>
    </w:p>
    <w:p w14:paraId="461C841D" w14:textId="4F053103" w:rsidR="00B969E8" w:rsidRDefault="00B969E8" w:rsidP="00E420A2">
      <w:pPr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</w:pPr>
    </w:p>
    <w:p w14:paraId="261FC21E" w14:textId="2B66AE40" w:rsidR="00E420A2" w:rsidRDefault="00E420A2">
      <w:pPr>
        <w:rPr>
          <w:sz w:val="20"/>
          <w:szCs w:val="20"/>
        </w:rPr>
      </w:pPr>
    </w:p>
    <w:p w14:paraId="1D378D51" w14:textId="23327B9B" w:rsidR="00E420A2" w:rsidRDefault="00E420A2">
      <w:pPr>
        <w:rPr>
          <w:sz w:val="20"/>
          <w:szCs w:val="20"/>
        </w:rPr>
      </w:pPr>
    </w:p>
    <w:p w14:paraId="62BCABD8" w14:textId="7B1962B2" w:rsidR="003F75C1" w:rsidRDefault="003F75C1">
      <w:pPr>
        <w:rPr>
          <w:sz w:val="20"/>
          <w:szCs w:val="20"/>
        </w:rPr>
      </w:pPr>
    </w:p>
    <w:p w14:paraId="17EC2FB7" w14:textId="5AEF4C6E" w:rsidR="003F75C1" w:rsidRDefault="003F75C1">
      <w:pPr>
        <w:rPr>
          <w:sz w:val="20"/>
          <w:szCs w:val="20"/>
        </w:rPr>
      </w:pPr>
    </w:p>
    <w:p w14:paraId="295406B5" w14:textId="17921311" w:rsidR="003F75C1" w:rsidRDefault="003F75C1">
      <w:pPr>
        <w:rPr>
          <w:sz w:val="20"/>
          <w:szCs w:val="20"/>
        </w:rPr>
      </w:pPr>
    </w:p>
    <w:p w14:paraId="59F22753" w14:textId="39DB852D" w:rsidR="003F75C1" w:rsidRDefault="003F75C1">
      <w:pPr>
        <w:rPr>
          <w:sz w:val="20"/>
          <w:szCs w:val="20"/>
        </w:rPr>
      </w:pPr>
    </w:p>
    <w:p w14:paraId="56261255" w14:textId="77777777" w:rsidR="003F75C1" w:rsidRDefault="003F75C1">
      <w:pPr>
        <w:rPr>
          <w:sz w:val="20"/>
          <w:szCs w:val="20"/>
        </w:rPr>
      </w:pPr>
    </w:p>
    <w:p w14:paraId="56CBD2E3" w14:textId="77777777" w:rsidR="0005353E" w:rsidRPr="00FB7270" w:rsidRDefault="0005353E" w:rsidP="00FB7270">
      <w:pPr>
        <w:spacing w:line="360" w:lineRule="auto"/>
        <w:ind w:left="360"/>
        <w:rPr>
          <w:sz w:val="20"/>
          <w:szCs w:val="20"/>
        </w:rPr>
      </w:pPr>
    </w:p>
    <w:p w14:paraId="4D012600" w14:textId="510B88A9" w:rsidR="00BF4CEC" w:rsidRPr="003F75C1" w:rsidRDefault="00946E49" w:rsidP="003F75C1">
      <w:pPr>
        <w:rPr>
          <w:rFonts w:ascii="CMR12" w:hAnsi="CMR12"/>
          <w:b/>
          <w:bCs/>
        </w:rPr>
      </w:pPr>
      <w:r w:rsidRPr="003F75C1">
        <w:rPr>
          <w:rFonts w:ascii="CMR12" w:hAnsi="CMR12"/>
          <w:b/>
          <w:bCs/>
        </w:rPr>
        <w:t>References</w:t>
      </w:r>
    </w:p>
    <w:p w14:paraId="3C73AE63" w14:textId="57A83B7E" w:rsidR="00C80B72" w:rsidRPr="003F75C1" w:rsidRDefault="00C80B72" w:rsidP="003F75C1">
      <w:pPr>
        <w:ind w:firstLine="720"/>
        <w:rPr>
          <w:rFonts w:ascii="CMR12" w:hAnsi="CMR12"/>
        </w:rPr>
      </w:pPr>
    </w:p>
    <w:p w14:paraId="411EDA44" w14:textId="369252E8" w:rsidR="00C80B72" w:rsidRDefault="00C80B72" w:rsidP="0065260B">
      <w:pPr>
        <w:spacing w:line="276" w:lineRule="auto"/>
        <w:ind w:firstLine="720"/>
        <w:rPr>
          <w:rFonts w:ascii="CMR12" w:hAnsi="CMR12"/>
        </w:rPr>
      </w:pPr>
      <w:r w:rsidRPr="003F75C1">
        <w:rPr>
          <w:rFonts w:ascii="CMR12" w:hAnsi="CMR12"/>
        </w:rPr>
        <w:t>Abele, A. E., Uchronski, M., Suitner, C., &amp; Wojciszke, B. (2008). Towards an operationalization of the fundamental dimensions of agency and communion: Trait content ratings in five countries considering valence and frequency of word occurrence. </w:t>
      </w:r>
      <w:r w:rsidRPr="00D87E7C">
        <w:rPr>
          <w:rFonts w:ascii="CMR12" w:hAnsi="CMR12"/>
          <w:i/>
          <w:iCs/>
        </w:rPr>
        <w:t>European Journal of Social Psychology</w:t>
      </w:r>
      <w:r w:rsidRPr="003F75C1">
        <w:rPr>
          <w:rFonts w:ascii="CMR12" w:hAnsi="CMR12"/>
        </w:rPr>
        <w:t>, 38(7), 1202-1217.</w:t>
      </w:r>
    </w:p>
    <w:p w14:paraId="26834D5F" w14:textId="77777777" w:rsidR="0065260B" w:rsidRPr="003F75C1" w:rsidRDefault="0065260B" w:rsidP="0065260B">
      <w:pPr>
        <w:spacing w:line="276" w:lineRule="auto"/>
        <w:ind w:firstLine="720"/>
        <w:rPr>
          <w:rFonts w:ascii="CMR12" w:hAnsi="CMR12"/>
        </w:rPr>
      </w:pPr>
    </w:p>
    <w:p w14:paraId="0E97AAAD" w14:textId="075C9281" w:rsidR="00D87E7C" w:rsidRDefault="00C80B72" w:rsidP="0065260B">
      <w:pPr>
        <w:spacing w:line="276" w:lineRule="auto"/>
        <w:ind w:firstLine="720"/>
        <w:rPr>
          <w:rFonts w:ascii="CMR12" w:hAnsi="CMR12"/>
        </w:rPr>
      </w:pPr>
      <w:r w:rsidRPr="003F75C1">
        <w:rPr>
          <w:rFonts w:ascii="CMR12" w:hAnsi="CMR12"/>
        </w:rPr>
        <w:t>Abdi, H. (2007). Signal detection theory (SDT). </w:t>
      </w:r>
      <w:r w:rsidRPr="00D87E7C">
        <w:rPr>
          <w:rFonts w:ascii="CMR12" w:hAnsi="CMR12"/>
          <w:i/>
          <w:iCs/>
        </w:rPr>
        <w:t>Encyclopedia of measurement and statistics</w:t>
      </w:r>
      <w:r w:rsidRPr="003F75C1">
        <w:rPr>
          <w:rFonts w:ascii="CMR12" w:hAnsi="CMR12"/>
        </w:rPr>
        <w:t>, 886-889.</w:t>
      </w:r>
    </w:p>
    <w:p w14:paraId="056D1CD5" w14:textId="77777777" w:rsidR="0065260B" w:rsidRDefault="0065260B" w:rsidP="0065260B">
      <w:pPr>
        <w:spacing w:line="276" w:lineRule="auto"/>
        <w:ind w:firstLine="720"/>
        <w:rPr>
          <w:rFonts w:ascii="CMR12" w:hAnsi="CMR12"/>
        </w:rPr>
      </w:pPr>
    </w:p>
    <w:p w14:paraId="32C3D960" w14:textId="207B67A0" w:rsidR="00D87E7C" w:rsidRDefault="00D87E7C" w:rsidP="0065260B">
      <w:pPr>
        <w:spacing w:line="276" w:lineRule="auto"/>
        <w:ind w:firstLine="720"/>
        <w:rPr>
          <w:rFonts w:ascii="CMR12" w:hAnsi="CMR12"/>
        </w:rPr>
      </w:pPr>
      <w:r w:rsidRPr="00D87E7C">
        <w:rPr>
          <w:rFonts w:ascii="CMR12" w:hAnsi="CMR12"/>
        </w:rPr>
        <w:t>Beevers, C. G., Mullarkey, M. C., Dainer-Best, J., Stewart, R. A., Labrada, J., Allen &amp; Shumake, J. (2019). Association between negative cognitive bias and depression: A symptom-level approach. </w:t>
      </w:r>
      <w:r w:rsidRPr="00D87E7C">
        <w:rPr>
          <w:rFonts w:ascii="CMR12" w:hAnsi="CMR12"/>
          <w:i/>
          <w:iCs/>
        </w:rPr>
        <w:t>Journal of abnormal psychology</w:t>
      </w:r>
      <w:r w:rsidRPr="00D87E7C">
        <w:rPr>
          <w:rFonts w:ascii="CMR12" w:hAnsi="CMR12"/>
        </w:rPr>
        <w:t>, 128(3), 212.</w:t>
      </w:r>
    </w:p>
    <w:p w14:paraId="095B90F4" w14:textId="45F7D32C" w:rsidR="00D87E7C" w:rsidRDefault="00D87E7C" w:rsidP="0065260B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D74C3B7" w14:textId="77777777" w:rsidR="0065260B" w:rsidRPr="0065260B" w:rsidRDefault="0065260B" w:rsidP="0065260B">
      <w:pPr>
        <w:spacing w:line="276" w:lineRule="auto"/>
        <w:ind w:firstLine="720"/>
        <w:rPr>
          <w:rFonts w:ascii="CMR12" w:hAnsi="CMR12"/>
        </w:rPr>
      </w:pPr>
      <w:r w:rsidRPr="0065260B">
        <w:rPr>
          <w:rFonts w:ascii="CMR12" w:hAnsi="CMR12"/>
        </w:rPr>
        <w:t>Beck, A. T., Steer, R. A., Ball, R., &amp; Ranieri, W. F. (1996). Comparison of Beck Depression Inventories-IA and-II in psychiatric outpatients. </w:t>
      </w:r>
      <w:r w:rsidRPr="0065260B">
        <w:rPr>
          <w:rFonts w:ascii="CMR12" w:hAnsi="CMR12"/>
          <w:i/>
          <w:iCs/>
        </w:rPr>
        <w:t>Journal of personality assessment</w:t>
      </w:r>
      <w:r w:rsidRPr="0065260B">
        <w:rPr>
          <w:rFonts w:ascii="CMR12" w:hAnsi="CMR12"/>
        </w:rPr>
        <w:t>, 67(3), 588-597.</w:t>
      </w:r>
    </w:p>
    <w:p w14:paraId="4F6D16E0" w14:textId="77777777" w:rsidR="0065260B" w:rsidRDefault="0065260B" w:rsidP="0065260B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B9150ED" w14:textId="163C0D1B" w:rsidR="00C80B72" w:rsidRDefault="00D87E7C" w:rsidP="0065260B">
      <w:pPr>
        <w:spacing w:line="276" w:lineRule="auto"/>
        <w:ind w:firstLine="720"/>
        <w:rPr>
          <w:rFonts w:ascii="CMR12" w:hAnsi="CMR12"/>
        </w:rPr>
      </w:pPr>
      <w:r w:rsidRPr="00D87E7C">
        <w:rPr>
          <w:rFonts w:ascii="CMR12" w:hAnsi="CMR12"/>
        </w:rPr>
        <w:t>Dainer-Best, J., Lee, H. Y., Shumake, J. D., Yeager, D. S., &amp; Beevers, C. G. (2018). Determining optimal parameters of the self-referent encoding task: A large-scale examination of self-referent cognition and depression. </w:t>
      </w:r>
      <w:r w:rsidRPr="00D87E7C">
        <w:rPr>
          <w:rFonts w:ascii="CMR12" w:hAnsi="CMR12"/>
          <w:i/>
          <w:iCs/>
        </w:rPr>
        <w:t>Psychological assessment</w:t>
      </w:r>
      <w:r w:rsidRPr="00D87E7C">
        <w:rPr>
          <w:rFonts w:ascii="CMR12" w:hAnsi="CMR12"/>
        </w:rPr>
        <w:t>, 30(11), 1527.</w:t>
      </w:r>
    </w:p>
    <w:p w14:paraId="18CF8540" w14:textId="77777777" w:rsidR="0065260B" w:rsidRPr="003F75C1" w:rsidRDefault="0065260B" w:rsidP="0065260B">
      <w:pPr>
        <w:spacing w:line="276" w:lineRule="auto"/>
        <w:ind w:firstLine="720"/>
        <w:rPr>
          <w:rFonts w:ascii="CMR12" w:hAnsi="CMR12"/>
        </w:rPr>
      </w:pPr>
    </w:p>
    <w:p w14:paraId="243BFFEA" w14:textId="6C37A3D1" w:rsidR="0065260B" w:rsidRDefault="007F6C2C" w:rsidP="0065260B">
      <w:pPr>
        <w:spacing w:line="276" w:lineRule="auto"/>
        <w:ind w:firstLine="720"/>
        <w:rPr>
          <w:rFonts w:ascii="CMR12" w:hAnsi="CMR12"/>
        </w:rPr>
      </w:pPr>
      <w:r w:rsidRPr="003F75C1">
        <w:rPr>
          <w:rFonts w:ascii="CMR12" w:hAnsi="CMR12"/>
        </w:rPr>
        <w:t>Kalenzaga, S., &amp; Jouhaud, V. (2018). The self-reference effect in memory: an implicit way to assess affective self-representations in social anxiety. </w:t>
      </w:r>
      <w:r w:rsidRPr="00D87E7C">
        <w:rPr>
          <w:rFonts w:ascii="CMR12" w:hAnsi="CMR12"/>
          <w:i/>
          <w:iCs/>
        </w:rPr>
        <w:t>Memory</w:t>
      </w:r>
      <w:r w:rsidRPr="003F75C1">
        <w:rPr>
          <w:rFonts w:ascii="CMR12" w:hAnsi="CMR12"/>
        </w:rPr>
        <w:t>, 26(7), 894-903.</w:t>
      </w:r>
    </w:p>
    <w:p w14:paraId="2D947247" w14:textId="77777777" w:rsidR="0065260B" w:rsidRDefault="0065260B" w:rsidP="0065260B">
      <w:pPr>
        <w:spacing w:line="276" w:lineRule="auto"/>
        <w:ind w:firstLine="720"/>
        <w:rPr>
          <w:rFonts w:ascii="CMR12" w:hAnsi="CMR12"/>
        </w:rPr>
      </w:pPr>
    </w:p>
    <w:p w14:paraId="28A12705" w14:textId="32F0D041" w:rsidR="007F6C2C" w:rsidRDefault="0065260B" w:rsidP="0065260B">
      <w:pPr>
        <w:spacing w:line="276" w:lineRule="auto"/>
        <w:ind w:firstLine="720"/>
        <w:rPr>
          <w:rFonts w:ascii="CMR12" w:hAnsi="CMR12"/>
        </w:rPr>
      </w:pPr>
      <w:r w:rsidRPr="0065260B">
        <w:rPr>
          <w:rFonts w:ascii="CMR12" w:hAnsi="CMR12"/>
        </w:rPr>
        <w:t>Karmon-Presser, A., &amp; Meiran, N. (2019). A signal-detection approach to individual differences in negative feeling. Heliyon, 5(4), e01344.</w:t>
      </w:r>
    </w:p>
    <w:p w14:paraId="5B722BDF" w14:textId="77777777" w:rsidR="0065260B" w:rsidRPr="0065260B" w:rsidRDefault="0065260B" w:rsidP="0065260B">
      <w:pPr>
        <w:spacing w:line="276" w:lineRule="auto"/>
        <w:ind w:firstLine="720"/>
        <w:rPr>
          <w:rFonts w:ascii="CMR12" w:hAnsi="CMR12"/>
        </w:rPr>
      </w:pPr>
    </w:p>
    <w:p w14:paraId="0A99076B" w14:textId="77777777" w:rsidR="003F75C1" w:rsidRPr="00D87E7C" w:rsidRDefault="007F6C2C" w:rsidP="0065260B">
      <w:pPr>
        <w:spacing w:line="276" w:lineRule="auto"/>
        <w:ind w:firstLine="720"/>
        <w:rPr>
          <w:rFonts w:ascii="CMR12" w:hAnsi="CMR12"/>
          <w:i/>
          <w:iCs/>
        </w:rPr>
      </w:pPr>
      <w:r w:rsidRPr="003F75C1">
        <w:rPr>
          <w:rFonts w:ascii="CMR12" w:hAnsi="CMR12"/>
        </w:rPr>
        <w:t>Sanz, J. (1996). Memory biases in social anxiety and depression. </w:t>
      </w:r>
      <w:r w:rsidRPr="00D87E7C">
        <w:rPr>
          <w:rFonts w:ascii="CMR12" w:hAnsi="CMR12"/>
          <w:i/>
          <w:iCs/>
        </w:rPr>
        <w:t xml:space="preserve">Cognition &amp; </w:t>
      </w:r>
    </w:p>
    <w:p w14:paraId="1692338A" w14:textId="74BCD089" w:rsidR="007F6C2C" w:rsidRPr="003F75C1" w:rsidRDefault="007F6C2C" w:rsidP="0065260B">
      <w:pPr>
        <w:spacing w:line="276" w:lineRule="auto"/>
        <w:rPr>
          <w:rFonts w:ascii="CMR12" w:hAnsi="CMR12"/>
        </w:rPr>
      </w:pPr>
      <w:r w:rsidRPr="00D87E7C">
        <w:rPr>
          <w:rFonts w:ascii="CMR12" w:hAnsi="CMR12"/>
          <w:i/>
          <w:iCs/>
        </w:rPr>
        <w:t>Emotion</w:t>
      </w:r>
      <w:r w:rsidRPr="003F75C1">
        <w:rPr>
          <w:rFonts w:ascii="CMR12" w:hAnsi="CMR12"/>
        </w:rPr>
        <w:t>, 10(1), 87-106.</w:t>
      </w:r>
    </w:p>
    <w:p w14:paraId="67F5D3B4" w14:textId="5CC79CB2" w:rsidR="00C80B72" w:rsidRPr="003F75C1" w:rsidRDefault="00C80B72" w:rsidP="0065260B">
      <w:pPr>
        <w:spacing w:line="276" w:lineRule="auto"/>
        <w:rPr>
          <w:color w:val="222222"/>
          <w:shd w:val="clear" w:color="auto" w:fill="FFFFFF"/>
        </w:rPr>
      </w:pPr>
    </w:p>
    <w:p w14:paraId="17CBD270" w14:textId="77777777" w:rsidR="003F75C1" w:rsidRPr="003F75C1" w:rsidRDefault="00C80B72" w:rsidP="0065260B">
      <w:pPr>
        <w:spacing w:line="276" w:lineRule="auto"/>
        <w:ind w:firstLine="720"/>
        <w:rPr>
          <w:rFonts w:ascii="CMR12" w:hAnsi="CMR12"/>
        </w:rPr>
      </w:pPr>
      <w:r w:rsidRPr="003F75C1">
        <w:rPr>
          <w:rFonts w:ascii="CMR12" w:hAnsi="CMR12"/>
        </w:rPr>
        <w:t xml:space="preserve">Stanislaw, H., &amp; Todorov, N. (1999). Calculation of signal detection theory </w:t>
      </w:r>
    </w:p>
    <w:p w14:paraId="70D33F9D" w14:textId="3BBE8A48" w:rsidR="00C80B72" w:rsidRPr="003F75C1" w:rsidRDefault="00C80B72" w:rsidP="0065260B">
      <w:pPr>
        <w:spacing w:line="276" w:lineRule="auto"/>
        <w:rPr>
          <w:rFonts w:ascii="CMR12" w:hAnsi="CMR12"/>
        </w:rPr>
      </w:pPr>
      <w:r w:rsidRPr="003F75C1">
        <w:rPr>
          <w:rFonts w:ascii="CMR12" w:hAnsi="CMR12"/>
        </w:rPr>
        <w:t>measures. </w:t>
      </w:r>
      <w:r w:rsidRPr="00D87E7C">
        <w:rPr>
          <w:rFonts w:ascii="CMR12" w:hAnsi="CMR12"/>
          <w:i/>
          <w:iCs/>
        </w:rPr>
        <w:t>Behavior research methods, instruments, &amp; computers</w:t>
      </w:r>
      <w:r w:rsidRPr="003F75C1">
        <w:rPr>
          <w:rFonts w:ascii="CMR12" w:hAnsi="CMR12"/>
        </w:rPr>
        <w:t>, 31(1), 137-149.</w:t>
      </w:r>
    </w:p>
    <w:p w14:paraId="700257BD" w14:textId="24ECD3F0" w:rsidR="005E10EE" w:rsidRPr="003F75C1" w:rsidRDefault="005E10EE" w:rsidP="007F6C2C">
      <w:pPr>
        <w:rPr>
          <w:color w:val="222222"/>
          <w:shd w:val="clear" w:color="auto" w:fill="FFFFFF"/>
        </w:rPr>
      </w:pPr>
    </w:p>
    <w:p w14:paraId="5D783C7F" w14:textId="7D4674A2" w:rsidR="005E10EE" w:rsidRDefault="005E10EE" w:rsidP="003F75C1">
      <w:pPr>
        <w:ind w:firstLine="720"/>
        <w:rPr>
          <w:rFonts w:ascii="CMR12" w:hAnsi="CMR12"/>
        </w:rPr>
      </w:pPr>
      <w:r w:rsidRPr="003F75C1">
        <w:rPr>
          <w:rFonts w:ascii="CMR12" w:hAnsi="CMR12"/>
        </w:rPr>
        <w:t>Thurston, M. D., Goldin, P., Heimberg, R., &amp; Gross, J. J. (2017). Self-views in social anxiety disorder: The impact of CBT versus MBSR. </w:t>
      </w:r>
      <w:r w:rsidRPr="00D87E7C">
        <w:rPr>
          <w:rFonts w:ascii="CMR12" w:hAnsi="CMR12"/>
          <w:i/>
          <w:iCs/>
        </w:rPr>
        <w:t>Journal of anxiety disorders</w:t>
      </w:r>
      <w:r w:rsidRPr="003F75C1">
        <w:rPr>
          <w:rFonts w:ascii="CMR12" w:hAnsi="CMR12"/>
        </w:rPr>
        <w:t>, 47, 83-90.</w:t>
      </w:r>
    </w:p>
    <w:p w14:paraId="4969253E" w14:textId="77777777" w:rsidR="0065260B" w:rsidRPr="0065260B" w:rsidRDefault="0065260B" w:rsidP="0065260B">
      <w:pPr>
        <w:ind w:firstLine="720"/>
        <w:rPr>
          <w:rFonts w:ascii="CMR12" w:hAnsi="CMR12"/>
        </w:rPr>
      </w:pPr>
      <w:r w:rsidRPr="0065260B">
        <w:rPr>
          <w:rFonts w:ascii="CMR12" w:hAnsi="CMR12"/>
        </w:rPr>
        <w:t>Wagenmakers, E. J., Van Der Maas, H. L., &amp; Grasman, R. P. (2007). An EZ-diffusion model for response time and accuracy. </w:t>
      </w:r>
      <w:r w:rsidRPr="0065260B">
        <w:rPr>
          <w:rFonts w:ascii="CMR12" w:hAnsi="CMR12"/>
          <w:i/>
          <w:iCs/>
        </w:rPr>
        <w:t>Psychonomic bulletin &amp; review</w:t>
      </w:r>
      <w:r w:rsidRPr="0065260B">
        <w:rPr>
          <w:rFonts w:ascii="CMR12" w:hAnsi="CMR12"/>
        </w:rPr>
        <w:t>, 14(1), 3-22.</w:t>
      </w:r>
    </w:p>
    <w:p w14:paraId="12F55DDF" w14:textId="77777777" w:rsidR="0065260B" w:rsidRPr="003F75C1" w:rsidRDefault="0065260B" w:rsidP="003F75C1">
      <w:pPr>
        <w:ind w:firstLine="720"/>
        <w:rPr>
          <w:rFonts w:ascii="CMR12" w:hAnsi="CMR12"/>
        </w:rPr>
      </w:pPr>
    </w:p>
    <w:p w14:paraId="2DF02CA6" w14:textId="77777777" w:rsidR="007F6C2C" w:rsidRPr="007F6C2C" w:rsidRDefault="007F6C2C" w:rsidP="007F6C2C"/>
    <w:p w14:paraId="4EE6E1D4" w14:textId="37DAA94F" w:rsidR="008B6074" w:rsidRPr="008B6074" w:rsidRDefault="008B6074" w:rsidP="008B6074">
      <w:pPr>
        <w:bidi/>
        <w:spacing w:line="360" w:lineRule="auto"/>
        <w:rPr>
          <w:sz w:val="20"/>
          <w:szCs w:val="20"/>
          <w:rtl/>
          <w:lang w:val="en-US"/>
        </w:rPr>
      </w:pPr>
    </w:p>
    <w:sectPr w:rsidR="008B6074" w:rsidRPr="008B6074" w:rsidSect="00EF765E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C00FC" w14:textId="77777777" w:rsidR="0054671F" w:rsidRDefault="0054671F" w:rsidP="00CF5297">
      <w:r>
        <w:separator/>
      </w:r>
    </w:p>
  </w:endnote>
  <w:endnote w:type="continuationSeparator" w:id="0">
    <w:p w14:paraId="7B2F22AB" w14:textId="77777777" w:rsidR="0054671F" w:rsidRDefault="0054671F" w:rsidP="00CF5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2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19EEF" w14:textId="77777777" w:rsidR="0054671F" w:rsidRDefault="0054671F" w:rsidP="00CF5297">
      <w:r>
        <w:separator/>
      </w:r>
    </w:p>
  </w:footnote>
  <w:footnote w:type="continuationSeparator" w:id="0">
    <w:p w14:paraId="691E05B3" w14:textId="77777777" w:rsidR="0054671F" w:rsidRDefault="0054671F" w:rsidP="00CF5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3221A"/>
    <w:multiLevelType w:val="hybridMultilevel"/>
    <w:tmpl w:val="81CAC4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34ABD"/>
    <w:multiLevelType w:val="hybridMultilevel"/>
    <w:tmpl w:val="E6C6B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4228C"/>
    <w:multiLevelType w:val="hybridMultilevel"/>
    <w:tmpl w:val="354C181E"/>
    <w:lvl w:ilvl="0" w:tplc="225C92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7BDE"/>
    <w:multiLevelType w:val="hybridMultilevel"/>
    <w:tmpl w:val="2E0CF1A6"/>
    <w:lvl w:ilvl="0" w:tplc="6B947A1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F626C"/>
    <w:multiLevelType w:val="hybridMultilevel"/>
    <w:tmpl w:val="30CA2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D4BAA"/>
    <w:multiLevelType w:val="hybridMultilevel"/>
    <w:tmpl w:val="F5D0E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317EF"/>
    <w:multiLevelType w:val="hybridMultilevel"/>
    <w:tmpl w:val="CD908198"/>
    <w:lvl w:ilvl="0" w:tplc="65EC90B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47F98"/>
    <w:multiLevelType w:val="hybridMultilevel"/>
    <w:tmpl w:val="8B0A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C7893"/>
    <w:multiLevelType w:val="hybridMultilevel"/>
    <w:tmpl w:val="D5AE1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01458"/>
    <w:multiLevelType w:val="hybridMultilevel"/>
    <w:tmpl w:val="65E69212"/>
    <w:lvl w:ilvl="0" w:tplc="B204E9BC">
      <w:start w:val="1"/>
      <w:numFmt w:val="upperLetter"/>
      <w:lvlText w:val="(%1)"/>
      <w:lvlJc w:val="left"/>
      <w:pPr>
        <w:ind w:left="760" w:hanging="40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F36D6"/>
    <w:multiLevelType w:val="hybridMultilevel"/>
    <w:tmpl w:val="CD467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20B04"/>
    <w:multiLevelType w:val="hybridMultilevel"/>
    <w:tmpl w:val="E16A25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30FF7"/>
    <w:multiLevelType w:val="hybridMultilevel"/>
    <w:tmpl w:val="E16A25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2617F"/>
    <w:multiLevelType w:val="hybridMultilevel"/>
    <w:tmpl w:val="7DA2198C"/>
    <w:lvl w:ilvl="0" w:tplc="8DAED10C">
      <w:start w:val="6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0F10C2"/>
    <w:multiLevelType w:val="hybridMultilevel"/>
    <w:tmpl w:val="20189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5E0BE3"/>
    <w:multiLevelType w:val="hybridMultilevel"/>
    <w:tmpl w:val="5EC4DA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36C67"/>
    <w:multiLevelType w:val="hybridMultilevel"/>
    <w:tmpl w:val="F8B6E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02FD2"/>
    <w:multiLevelType w:val="hybridMultilevel"/>
    <w:tmpl w:val="C3728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B1D52"/>
    <w:multiLevelType w:val="hybridMultilevel"/>
    <w:tmpl w:val="FB04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040AED"/>
    <w:multiLevelType w:val="hybridMultilevel"/>
    <w:tmpl w:val="7A72D0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i w:val="0"/>
        <w:iCs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9842D1"/>
    <w:multiLevelType w:val="hybridMultilevel"/>
    <w:tmpl w:val="13C6E314"/>
    <w:lvl w:ilvl="0" w:tplc="65EC90B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E358C4"/>
    <w:multiLevelType w:val="hybridMultilevel"/>
    <w:tmpl w:val="9E1C0F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AD1CC4"/>
    <w:multiLevelType w:val="hybridMultilevel"/>
    <w:tmpl w:val="64FC70B0"/>
    <w:lvl w:ilvl="0" w:tplc="8DAED10C">
      <w:start w:val="6"/>
      <w:numFmt w:val="bullet"/>
      <w:lvlText w:val="-"/>
      <w:lvlJc w:val="left"/>
      <w:pPr>
        <w:ind w:left="1445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3" w15:restartNumberingAfterBreak="0">
    <w:nsid w:val="5B3129E3"/>
    <w:multiLevelType w:val="hybridMultilevel"/>
    <w:tmpl w:val="3FBA1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48296D"/>
    <w:multiLevelType w:val="hybridMultilevel"/>
    <w:tmpl w:val="CEECF330"/>
    <w:lvl w:ilvl="0" w:tplc="8DAED10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bCs w:val="0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83AD2"/>
    <w:multiLevelType w:val="hybridMultilevel"/>
    <w:tmpl w:val="899EEFDC"/>
    <w:lvl w:ilvl="0" w:tplc="02E8C7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0456C4"/>
    <w:multiLevelType w:val="hybridMultilevel"/>
    <w:tmpl w:val="ECD89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990E38"/>
    <w:multiLevelType w:val="hybridMultilevel"/>
    <w:tmpl w:val="5AA28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801148"/>
    <w:multiLevelType w:val="hybridMultilevel"/>
    <w:tmpl w:val="9882212C"/>
    <w:lvl w:ilvl="0" w:tplc="C4F0CFD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370948"/>
    <w:multiLevelType w:val="hybridMultilevel"/>
    <w:tmpl w:val="B2341178"/>
    <w:lvl w:ilvl="0" w:tplc="65EC90B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CD169B0"/>
    <w:multiLevelType w:val="hybridMultilevel"/>
    <w:tmpl w:val="E16A25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B44305"/>
    <w:multiLevelType w:val="hybridMultilevel"/>
    <w:tmpl w:val="A0A200D0"/>
    <w:lvl w:ilvl="0" w:tplc="65EC90B8">
      <w:start w:val="6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702D4B08"/>
    <w:multiLevelType w:val="hybridMultilevel"/>
    <w:tmpl w:val="6B2CE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DB1EE0"/>
    <w:multiLevelType w:val="hybridMultilevel"/>
    <w:tmpl w:val="50BCAB42"/>
    <w:lvl w:ilvl="0" w:tplc="88B04CE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AE4177"/>
    <w:multiLevelType w:val="hybridMultilevel"/>
    <w:tmpl w:val="81CAC4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CE1FF8"/>
    <w:multiLevelType w:val="hybridMultilevel"/>
    <w:tmpl w:val="58425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460827"/>
    <w:multiLevelType w:val="hybridMultilevel"/>
    <w:tmpl w:val="BCFECF90"/>
    <w:lvl w:ilvl="0" w:tplc="8DAED10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2"/>
  </w:num>
  <w:num w:numId="3">
    <w:abstractNumId w:val="15"/>
  </w:num>
  <w:num w:numId="4">
    <w:abstractNumId w:val="29"/>
  </w:num>
  <w:num w:numId="5">
    <w:abstractNumId w:val="4"/>
  </w:num>
  <w:num w:numId="6">
    <w:abstractNumId w:val="7"/>
  </w:num>
  <w:num w:numId="7">
    <w:abstractNumId w:val="18"/>
  </w:num>
  <w:num w:numId="8">
    <w:abstractNumId w:val="31"/>
  </w:num>
  <w:num w:numId="9">
    <w:abstractNumId w:val="20"/>
  </w:num>
  <w:num w:numId="10">
    <w:abstractNumId w:val="1"/>
  </w:num>
  <w:num w:numId="11">
    <w:abstractNumId w:val="26"/>
  </w:num>
  <w:num w:numId="12">
    <w:abstractNumId w:val="8"/>
  </w:num>
  <w:num w:numId="13">
    <w:abstractNumId w:val="10"/>
  </w:num>
  <w:num w:numId="14">
    <w:abstractNumId w:val="14"/>
  </w:num>
  <w:num w:numId="15">
    <w:abstractNumId w:val="16"/>
  </w:num>
  <w:num w:numId="16">
    <w:abstractNumId w:val="13"/>
  </w:num>
  <w:num w:numId="17">
    <w:abstractNumId w:val="6"/>
  </w:num>
  <w:num w:numId="18">
    <w:abstractNumId w:val="22"/>
  </w:num>
  <w:num w:numId="19">
    <w:abstractNumId w:val="17"/>
  </w:num>
  <w:num w:numId="20">
    <w:abstractNumId w:val="19"/>
  </w:num>
  <w:num w:numId="21">
    <w:abstractNumId w:val="24"/>
  </w:num>
  <w:num w:numId="22">
    <w:abstractNumId w:val="36"/>
  </w:num>
  <w:num w:numId="23">
    <w:abstractNumId w:val="5"/>
  </w:num>
  <w:num w:numId="24">
    <w:abstractNumId w:val="27"/>
  </w:num>
  <w:num w:numId="25">
    <w:abstractNumId w:val="21"/>
  </w:num>
  <w:num w:numId="26">
    <w:abstractNumId w:val="11"/>
  </w:num>
  <w:num w:numId="27">
    <w:abstractNumId w:val="0"/>
  </w:num>
  <w:num w:numId="28">
    <w:abstractNumId w:val="34"/>
  </w:num>
  <w:num w:numId="29">
    <w:abstractNumId w:val="12"/>
  </w:num>
  <w:num w:numId="30">
    <w:abstractNumId w:val="23"/>
  </w:num>
  <w:num w:numId="31">
    <w:abstractNumId w:val="35"/>
  </w:num>
  <w:num w:numId="32">
    <w:abstractNumId w:val="3"/>
  </w:num>
  <w:num w:numId="33">
    <w:abstractNumId w:val="25"/>
  </w:num>
  <w:num w:numId="34">
    <w:abstractNumId w:val="2"/>
  </w:num>
  <w:num w:numId="35">
    <w:abstractNumId w:val="28"/>
  </w:num>
  <w:num w:numId="36">
    <w:abstractNumId w:val="9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00C"/>
    <w:rsid w:val="0002500C"/>
    <w:rsid w:val="00031627"/>
    <w:rsid w:val="00035D7E"/>
    <w:rsid w:val="000523DD"/>
    <w:rsid w:val="0005353E"/>
    <w:rsid w:val="000B6492"/>
    <w:rsid w:val="000D19E5"/>
    <w:rsid w:val="000F43C4"/>
    <w:rsid w:val="001069C0"/>
    <w:rsid w:val="00110DDE"/>
    <w:rsid w:val="00116397"/>
    <w:rsid w:val="00125988"/>
    <w:rsid w:val="00135753"/>
    <w:rsid w:val="00137EF2"/>
    <w:rsid w:val="001976F0"/>
    <w:rsid w:val="001B633C"/>
    <w:rsid w:val="001E766B"/>
    <w:rsid w:val="00235876"/>
    <w:rsid w:val="00250B5B"/>
    <w:rsid w:val="0029298D"/>
    <w:rsid w:val="002953F1"/>
    <w:rsid w:val="002A692F"/>
    <w:rsid w:val="002B0937"/>
    <w:rsid w:val="002B38CA"/>
    <w:rsid w:val="002D03BD"/>
    <w:rsid w:val="002F5AB4"/>
    <w:rsid w:val="0030665D"/>
    <w:rsid w:val="00310201"/>
    <w:rsid w:val="00312CA8"/>
    <w:rsid w:val="003217F4"/>
    <w:rsid w:val="0032773E"/>
    <w:rsid w:val="0036257F"/>
    <w:rsid w:val="00367954"/>
    <w:rsid w:val="00383171"/>
    <w:rsid w:val="00383652"/>
    <w:rsid w:val="00391C80"/>
    <w:rsid w:val="003A15E1"/>
    <w:rsid w:val="003C5828"/>
    <w:rsid w:val="003D7CE3"/>
    <w:rsid w:val="003F2DA0"/>
    <w:rsid w:val="003F5F35"/>
    <w:rsid w:val="003F75C1"/>
    <w:rsid w:val="004313F7"/>
    <w:rsid w:val="004349F6"/>
    <w:rsid w:val="004449AB"/>
    <w:rsid w:val="00445D52"/>
    <w:rsid w:val="00465E00"/>
    <w:rsid w:val="00477B4B"/>
    <w:rsid w:val="004F0258"/>
    <w:rsid w:val="004F0A4B"/>
    <w:rsid w:val="00500186"/>
    <w:rsid w:val="00515B82"/>
    <w:rsid w:val="00521EA0"/>
    <w:rsid w:val="00532658"/>
    <w:rsid w:val="005456C2"/>
    <w:rsid w:val="0054671F"/>
    <w:rsid w:val="00577333"/>
    <w:rsid w:val="005D1D3A"/>
    <w:rsid w:val="005E10EE"/>
    <w:rsid w:val="005E60BB"/>
    <w:rsid w:val="005F2A51"/>
    <w:rsid w:val="00607523"/>
    <w:rsid w:val="0062181A"/>
    <w:rsid w:val="006342EB"/>
    <w:rsid w:val="0065260B"/>
    <w:rsid w:val="0066076E"/>
    <w:rsid w:val="00661B3C"/>
    <w:rsid w:val="006666C8"/>
    <w:rsid w:val="0069016D"/>
    <w:rsid w:val="00697E00"/>
    <w:rsid w:val="006D2016"/>
    <w:rsid w:val="006E39EB"/>
    <w:rsid w:val="00706957"/>
    <w:rsid w:val="00716B59"/>
    <w:rsid w:val="00716DAF"/>
    <w:rsid w:val="00737D1D"/>
    <w:rsid w:val="00742EBE"/>
    <w:rsid w:val="00745E89"/>
    <w:rsid w:val="007551E6"/>
    <w:rsid w:val="00764F43"/>
    <w:rsid w:val="007800A5"/>
    <w:rsid w:val="007B5ECD"/>
    <w:rsid w:val="007C016A"/>
    <w:rsid w:val="007C70DC"/>
    <w:rsid w:val="007D0602"/>
    <w:rsid w:val="007F6C2C"/>
    <w:rsid w:val="007F7B5E"/>
    <w:rsid w:val="00857B31"/>
    <w:rsid w:val="00861CFF"/>
    <w:rsid w:val="00870534"/>
    <w:rsid w:val="00882D88"/>
    <w:rsid w:val="008B068B"/>
    <w:rsid w:val="008B6074"/>
    <w:rsid w:val="008B754B"/>
    <w:rsid w:val="008C613F"/>
    <w:rsid w:val="008E16EE"/>
    <w:rsid w:val="008E6FBF"/>
    <w:rsid w:val="00914A3B"/>
    <w:rsid w:val="009259E9"/>
    <w:rsid w:val="009372D0"/>
    <w:rsid w:val="0093758F"/>
    <w:rsid w:val="00946E49"/>
    <w:rsid w:val="009A1F71"/>
    <w:rsid w:val="00A04B6F"/>
    <w:rsid w:val="00A112F9"/>
    <w:rsid w:val="00A11685"/>
    <w:rsid w:val="00A133B3"/>
    <w:rsid w:val="00A170A4"/>
    <w:rsid w:val="00A255F0"/>
    <w:rsid w:val="00A32B93"/>
    <w:rsid w:val="00A520B4"/>
    <w:rsid w:val="00A53774"/>
    <w:rsid w:val="00A57BD6"/>
    <w:rsid w:val="00A72FB3"/>
    <w:rsid w:val="00A80BF3"/>
    <w:rsid w:val="00A85302"/>
    <w:rsid w:val="00AB52EA"/>
    <w:rsid w:val="00AD78B6"/>
    <w:rsid w:val="00AE03B0"/>
    <w:rsid w:val="00AE08A4"/>
    <w:rsid w:val="00AF155D"/>
    <w:rsid w:val="00B115FF"/>
    <w:rsid w:val="00B12296"/>
    <w:rsid w:val="00B151B8"/>
    <w:rsid w:val="00B2049A"/>
    <w:rsid w:val="00B31FE9"/>
    <w:rsid w:val="00B42D70"/>
    <w:rsid w:val="00B71CDC"/>
    <w:rsid w:val="00B969E8"/>
    <w:rsid w:val="00BC08D0"/>
    <w:rsid w:val="00BF4CEC"/>
    <w:rsid w:val="00C00950"/>
    <w:rsid w:val="00C62C9F"/>
    <w:rsid w:val="00C76E78"/>
    <w:rsid w:val="00C80B72"/>
    <w:rsid w:val="00C86333"/>
    <w:rsid w:val="00CA73A1"/>
    <w:rsid w:val="00CB48BF"/>
    <w:rsid w:val="00CF3672"/>
    <w:rsid w:val="00CF5297"/>
    <w:rsid w:val="00D24156"/>
    <w:rsid w:val="00D466B1"/>
    <w:rsid w:val="00D5161A"/>
    <w:rsid w:val="00D738CD"/>
    <w:rsid w:val="00D85383"/>
    <w:rsid w:val="00D87E7C"/>
    <w:rsid w:val="00D92E81"/>
    <w:rsid w:val="00D963BD"/>
    <w:rsid w:val="00DA1E37"/>
    <w:rsid w:val="00DB13C0"/>
    <w:rsid w:val="00DD3776"/>
    <w:rsid w:val="00DF4728"/>
    <w:rsid w:val="00E20DDD"/>
    <w:rsid w:val="00E371BC"/>
    <w:rsid w:val="00E37AA2"/>
    <w:rsid w:val="00E420A2"/>
    <w:rsid w:val="00E64BE7"/>
    <w:rsid w:val="00E76071"/>
    <w:rsid w:val="00EA30D9"/>
    <w:rsid w:val="00EA5270"/>
    <w:rsid w:val="00EE45CE"/>
    <w:rsid w:val="00EF765E"/>
    <w:rsid w:val="00F12638"/>
    <w:rsid w:val="00F308C2"/>
    <w:rsid w:val="00F45E34"/>
    <w:rsid w:val="00F80565"/>
    <w:rsid w:val="00F806CC"/>
    <w:rsid w:val="00FB0F66"/>
    <w:rsid w:val="00FB7270"/>
    <w:rsid w:val="00FD1203"/>
    <w:rsid w:val="00FE10A6"/>
    <w:rsid w:val="00FE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1DAE"/>
  <w15:chartTrackingRefBased/>
  <w15:docId w15:val="{C8E262A2-DA19-9E47-A485-DDBA7956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60B"/>
    <w:rPr>
      <w:rFonts w:ascii="Times New Roman" w:eastAsia="Times New Roman" w:hAnsi="Times New Roman" w:cs="Times New Roman"/>
      <w:lang w:val="en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0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2500C"/>
    <w:pPr>
      <w:spacing w:before="100" w:beforeAutospacing="1" w:after="100" w:afterAutospacing="1"/>
      <w:outlineLvl w:val="2"/>
    </w:pPr>
    <w:rPr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500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250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500C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697E00"/>
    <w:pPr>
      <w:spacing w:before="100" w:beforeAutospacing="1" w:after="100" w:afterAutospacing="1"/>
    </w:pPr>
    <w:rPr>
      <w:lang w:val="en-US"/>
    </w:rPr>
  </w:style>
  <w:style w:type="table" w:styleId="TableGrid">
    <w:name w:val="Table Grid"/>
    <w:basedOn w:val="TableNormal"/>
    <w:uiPriority w:val="39"/>
    <w:rsid w:val="00660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F6C2C"/>
  </w:style>
  <w:style w:type="character" w:styleId="UnresolvedMention">
    <w:name w:val="Unresolved Mention"/>
    <w:basedOn w:val="DefaultParagraphFont"/>
    <w:uiPriority w:val="99"/>
    <w:semiHidden/>
    <w:unhideWhenUsed/>
    <w:rsid w:val="000316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10A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0A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L"/>
    </w:rPr>
  </w:style>
  <w:style w:type="paragraph" w:customStyle="1" w:styleId="displaytext1ytoza">
    <w:name w:val="_displaytext_1ytoza"/>
    <w:basedOn w:val="Normal"/>
    <w:rsid w:val="007800A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A57B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7B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7BD6"/>
    <w:rPr>
      <w:rFonts w:ascii="Times New Roman" w:eastAsia="Times New Roman" w:hAnsi="Times New Roman" w:cs="Times New Roman"/>
      <w:sz w:val="20"/>
      <w:szCs w:val="20"/>
      <w:lang w:val="en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7B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7BD6"/>
    <w:rPr>
      <w:rFonts w:ascii="Times New Roman" w:eastAsia="Times New Roman" w:hAnsi="Times New Roman" w:cs="Times New Roman"/>
      <w:b/>
      <w:bCs/>
      <w:sz w:val="20"/>
      <w:szCs w:val="20"/>
      <w:lang w:val="en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BD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BD6"/>
    <w:rPr>
      <w:rFonts w:ascii="Times New Roman" w:eastAsia="Times New Roman" w:hAnsi="Times New Roman" w:cs="Times New Roman"/>
      <w:sz w:val="18"/>
      <w:szCs w:val="18"/>
      <w:lang w:val="en-IL"/>
    </w:rPr>
  </w:style>
  <w:style w:type="paragraph" w:styleId="Header">
    <w:name w:val="header"/>
    <w:basedOn w:val="Normal"/>
    <w:link w:val="HeaderChar"/>
    <w:uiPriority w:val="99"/>
    <w:unhideWhenUsed/>
    <w:rsid w:val="00CF52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297"/>
    <w:rPr>
      <w:rFonts w:ascii="Times New Roman" w:eastAsia="Times New Roman" w:hAnsi="Times New Roman" w:cs="Times New Roman"/>
      <w:lang w:val="en-IL"/>
    </w:rPr>
  </w:style>
  <w:style w:type="paragraph" w:styleId="Footer">
    <w:name w:val="footer"/>
    <w:basedOn w:val="Normal"/>
    <w:link w:val="FooterChar"/>
    <w:uiPriority w:val="99"/>
    <w:unhideWhenUsed/>
    <w:rsid w:val="00CF52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297"/>
    <w:rPr>
      <w:rFonts w:ascii="Times New Roman" w:eastAsia="Times New Roman" w:hAnsi="Times New Roman" w:cs="Times New Roman"/>
      <w:lang w:val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4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3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3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4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0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9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2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9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4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4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7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1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0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7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6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5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1760</Words>
  <Characters>10034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Eliran Hay</dc:creator>
  <cp:keywords/>
  <dc:description/>
  <cp:lastModifiedBy>Eliran Hay</cp:lastModifiedBy>
  <cp:revision>3</cp:revision>
  <dcterms:created xsi:type="dcterms:W3CDTF">2021-04-25T10:19:00Z</dcterms:created>
  <dcterms:modified xsi:type="dcterms:W3CDTF">2021-04-25T10:23:00Z</dcterms:modified>
</cp:coreProperties>
</file>