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Microsoft JhengHei" w:hAnsi="Microsoft JhengHei"/>
          <w:color w:val="7F8C8D"/>
          <w:sz w:val="18"/>
        </w:rPr>
        <w:t>數位內容設計（Digital Content Design）｜ PBL 專題實作導引（第二週）</w:t>
      </w:r>
    </w:p>
    <w:p>
      <w:pPr>
        <w:spacing w:before="80" w:after="40"/>
      </w:pPr>
      <w:r>
        <w:rPr>
          <w:rFonts w:ascii="Microsoft JhengHei" w:hAnsi="Microsoft JhengHei"/>
          <w:b/>
          <w:color w:val="1A56B8"/>
          <w:sz w:val="34"/>
        </w:rPr>
        <w:t>第二週：SDGs 議題之 Gemini 蘇格拉底思辨紀錄表</w:t>
      </w:r>
    </w:p>
    <w:p>
      <w:pPr>
        <w:spacing w:after="200"/>
      </w:pPr>
      <w:r>
        <w:rPr>
          <w:rFonts w:ascii="Microsoft JhengHei" w:hAnsi="Microsoft JhengHei"/>
          <w:color w:val="555555"/>
          <w:sz w:val="19"/>
        </w:rPr>
        <w:t>本紀錄表用於第二週課堂工作坊（60 分鐘）。請各組打開 Google Gemini，圍繞第一週選定的 SDGs 專案主題，將 Gemini 設定為「蘇格拉底式思辨教練」，展開至少三輪深度反詰對話。各組應將最精彩的對話詰問、破除的思考盲點與修正後的專案洞察完整記錄於本表，並於課堂結束前提交，經教師/助教諮詢後作為企劃核心論點之支撐。</w:t>
      </w:r>
    </w:p>
    <w:p>
      <w:pPr>
        <w:spacing w:before="120" w:after="80"/>
      </w:pPr>
      <w:r>
        <w:rPr>
          <w:rFonts w:ascii="Microsoft JhengHei" w:hAnsi="Microsoft JhengHei"/>
          <w:b/>
          <w:color w:val="1A56B8"/>
          <w:sz w:val="23"/>
        </w:rPr>
        <w:t>一、 小組基本資訊與專案錨定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專案組別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t>第 _______ 組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小組組名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/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專案暫定名稱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t>《 _______________________________ 》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選定 SDGs 目標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t>第 【    】 號目標：_________________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今日思辨分工</w:t>
            </w:r>
          </w:p>
        </w:tc>
        <w:tc>
          <w:tcPr>
            <w:tcW w:type="dxa" w:w="7452"/>
            <w:gridSpan w:val="3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• 提問主持 (Prompt Lead / PM)：____________________（負責下達提示詞與控制對話節奏）</w:t>
              <w:br/>
              <w:t>• 辯證記錄 (Scribe / Content)：________________________（負責篩選關鍵問答與記錄反詰）</w:t>
              <w:br/>
              <w:t>• 盲點質疑 (Challenger / Creative)：____________________（負責從受眾與反方立場提出補問）</w:t>
            </w:r>
          </w:p>
        </w:tc>
      </w:tr>
    </w:tbl>
    <w:p>
      <w:pPr>
        <w:spacing w:before="240" w:after="80"/>
      </w:pPr>
      <w:r>
        <w:rPr>
          <w:rFonts w:ascii="Microsoft JhengHei" w:hAnsi="Microsoft JhengHei"/>
          <w:b/>
          <w:color w:val="1A56B8"/>
          <w:sz w:val="23"/>
        </w:rPr>
        <w:t>二、 Gemini 蘇格拉底思辨三輪深度對話實錄（重點填寫區）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40" w:type="dxa"/>
              <w:bottom w:w="140" w:type="dxa"/>
              <w:left w:w="130" w:type="dxa"/>
              <w:right w:w="130" w:type="dxa"/>
            </w:tcMar>
            <w:shd w:fill="F0F4F8"/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vAlign w:val="center"/>
          </w:tcPr>
          <w:p>
            <w:r>
              <w:rPr>
                <w:b/>
                <w:sz w:val="19"/>
              </w:rPr>
              <w:t>第一輪思辨：</w:t>
              <w:br/>
              <w:t>挑戰痛點假說</w:t>
              <w:br/>
              <w:br/>
              <w:t>【Assumptions</w:t>
              <w:br/>
              <w:t>Stress-test】</w:t>
            </w:r>
          </w:p>
        </w:tc>
        <w:tc>
          <w:tcPr>
            <w:tcW w:type="dxa" w:w="7056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vAlign w:val="top"/>
          </w:tcPr>
          <w:p>
            <w:r>
              <w:rPr>
                <w:sz w:val="19"/>
              </w:rPr>
              <w:t>1. 我方的原始痛點假說（我們原本認為受眾不願意行動或產生問題的原因是）：</w:t>
              <w:br/>
              <w:br/>
              <w:t>2. Gemini 提出的最犀利反詰（AI 如何指出我們未經證實的前提或反例？）：</w:t>
              <w:br/>
              <w:br/>
              <w:t>3. 我方辯證後的修正結論（受眾背後真正的心理阻力或生活障礙其實是）：</w:t>
              <w:br/>
              <w:br/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30" w:type="dxa"/>
              <w:right w:w="130" w:type="dxa"/>
            </w:tcMar>
            <w:shd w:fill="F0F4F8"/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vAlign w:val="center"/>
          </w:tcPr>
          <w:p>
            <w:r>
              <w:rPr>
                <w:b/>
                <w:sz w:val="19"/>
              </w:rPr>
              <w:t>第二輪思辨：</w:t>
              <w:br/>
              <w:t>利害關係人衝突</w:t>
              <w:br/>
              <w:br/>
              <w:t>【Stakeholder</w:t>
              <w:br/>
              <w:t>Conflict】</w:t>
            </w:r>
          </w:p>
        </w:tc>
        <w:tc>
          <w:tcPr>
            <w:tcW w:type="dxa" w:w="7056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vAlign w:val="top"/>
          </w:tcPr>
          <w:p>
            <w:r>
              <w:rPr>
                <w:sz w:val="19"/>
              </w:rPr>
              <w:t>1. 反對立場角色設定（例：校園周邊餐飲店家、外送平台、行政總務處等）：</w:t>
              <w:br/>
              <w:t xml:space="preserve">   角色身分：________________________________________</w:t>
              <w:br/>
              <w:t>2. 該角色提出的核心抗拒理由（利益受損、流程繁瑣、成本增加等具體反駁）：</w:t>
              <w:br/>
              <w:br/>
              <w:t>3. 我方行銷策略因應之道（如何透過誘因設計、同理溝通或替代方案化解阻力？）：</w:t>
              <w:br/>
              <w:br/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30" w:type="dxa"/>
              <w:right w:w="130" w:type="dxa"/>
            </w:tcMar>
            <w:shd w:fill="F0F4F8"/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vAlign w:val="center"/>
          </w:tcPr>
          <w:p>
            <w:r>
              <w:rPr>
                <w:b/>
                <w:sz w:val="19"/>
              </w:rPr>
              <w:t>第三輪思辨：</w:t>
              <w:br/>
              <w:t>AI 技術適用性與</w:t>
              <w:br/>
              <w:t>倫理邊界檢驗</w:t>
              <w:br/>
              <w:br/>
              <w:t>【Feasibility &amp;</w:t>
              <w:br/>
              <w:t>Ethics】</w:t>
            </w:r>
          </w:p>
        </w:tc>
        <w:tc>
          <w:tcPr>
            <w:tcW w:type="dxa" w:w="7056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vAlign w:val="top"/>
          </w:tcPr>
          <w:p>
            <w:r>
              <w:rPr>
                <w:sz w:val="19"/>
              </w:rPr>
              <w:t>1. 本專案中最適合交給生成式 AI 發揮的環節（海報視覺生成 / 文案多樣化 / 動畫）：</w:t>
              <w:br/>
              <w:br/>
              <w:t>2. 本專案中絕不能依賴 AI、必須由人類田野同理親身解決的環節（如在地深度訪談）：</w:t>
              <w:br/>
              <w:br/>
              <w:t>3. 使用 AI 生成內容可能面臨的倫理風險或受眾真實性疑慮（偏誤、刻板印象、虛假感）：</w:t>
              <w:br/>
              <w:br/>
            </w:r>
          </w:p>
        </w:tc>
      </w:tr>
    </w:tbl>
    <w:p>
      <w:pPr>
        <w:spacing w:before="240" w:after="80"/>
      </w:pPr>
      <w:r>
        <w:rPr>
          <w:rFonts w:ascii="Microsoft JhengHei" w:hAnsi="Microsoft JhengHei"/>
          <w:b/>
          <w:color w:val="1A56B8"/>
          <w:sz w:val="23"/>
        </w:rPr>
        <w:t>三、 本週思辨核心蛻變與策略升級（收斂總結）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30" w:type="dxa"/>
              <w:bottom w:w="13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專案策略重大蛻變</w:t>
              <w:br/>
              <w:t>【100字以內描述】</w:t>
            </w:r>
          </w:p>
        </w:tc>
        <w:tc>
          <w:tcPr>
            <w:tcW w:type="dxa" w:w="7056"/>
            <w:tcMar>
              <w:top w:w="130" w:type="dxa"/>
              <w:bottom w:w="13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請具體說明：經過今天的蘇格拉底對話後，你們的專題切入點產生了什麼升級或轉變？</w:t>
              <w:br/>
              <w:t>（例如：從「空泛宣導不要浪費」轉變為「針對大二外宿族深夜宵夜格外品的搶救食譜」）</w:t>
              <w:br/>
              <w:br/>
              <w:br/>
            </w:r>
          </w:p>
        </w:tc>
      </w:tr>
      <w:tr>
        <w:tc>
          <w:tcPr>
            <w:tcW w:type="dxa" w:w="2880"/>
            <w:tcMar>
              <w:top w:w="130" w:type="dxa"/>
              <w:bottom w:w="13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升級後的核心倡議主張</w:t>
              <w:br/>
              <w:t>【Core Message】</w:t>
            </w:r>
          </w:p>
        </w:tc>
        <w:tc>
          <w:tcPr>
            <w:tcW w:type="dxa" w:w="7056"/>
            <w:tcMar>
              <w:top w:w="130" w:type="dxa"/>
              <w:bottom w:w="13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9"/>
              </w:rPr>
              <w:t>「 ____________________________________________________________________________________ 」</w:t>
              <w:br/>
              <w:t>（提示：一句話打動受眾，強調具體行動與有感價值）</w:t>
            </w:r>
          </w:p>
        </w:tc>
      </w:tr>
    </w:tbl>
    <w:p>
      <w:pPr>
        <w:spacing w:before="200" w:after="40"/>
      </w:pPr>
      <w:r>
        <w:rPr>
          <w:rFonts w:ascii="Microsoft JhengHei" w:hAnsi="Microsoft JhengHei"/>
          <w:b/>
          <w:color w:val="2E7D32"/>
          <w:sz w:val="21"/>
        </w:rPr>
        <w:t>四、 課堂對話示範標竿（Reference Benchmark）</w:t>
      </w:r>
    </w:p>
    <w:p>
      <w:pPr>
        <w:spacing w:after="120"/>
      </w:pPr>
      <w:r>
        <w:rPr>
          <w:color w:val="444444"/>
          <w:sz w:val="17"/>
        </w:rPr>
        <w:t>【牛皮紙袋 vs. 輕量塑膠袋之全生命週期（LCA）思辨示範】</w:t>
        <w:br/>
        <w:t>• 原始假說：校園應全面以紙袋取代塑膠袋，因為紙張可自然分解，一定更環保。</w:t>
        <w:br/>
        <w:t>• Gemini 反詰：製造紙袋的伐木、水耗與製漿排污，前期環境成本是否遠高於輕量塑膠袋？若紙袋有防油 PE 淋膜，真能自然分解嗎？</w:t>
        <w:br/>
        <w:t>• 修正結論：單純更換包材只是「偽環保」，真正的核心應是建立「校園循環容器借還系統」，推動行為改變而非耗材替換。</w:t>
      </w:r>
    </w:p>
    <w:p>
      <w:pPr>
        <w:spacing w:before="200" w:after="80"/>
      </w:pPr>
      <w:r>
        <w:rPr>
          <w:rFonts w:ascii="Microsoft JhengHei" w:hAnsi="Microsoft JhengHei"/>
          <w:b/>
          <w:color w:val="C0392B"/>
          <w:sz w:val="21"/>
        </w:rPr>
        <w:t>五、 課堂即時諮詢與審查回饋欄（教師 / 助教填寫）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10" w:type="dxa"/>
              <w:bottom w:w="11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DF2E9"/>
          </w:tcPr>
          <w:p>
            <w:r>
              <w:rPr>
                <w:b/>
              </w:rPr>
              <w:t>思辨深度評核狀態</w:t>
            </w:r>
          </w:p>
        </w:tc>
        <w:tc>
          <w:tcPr>
            <w:tcW w:type="dxa" w:w="7056"/>
            <w:tcMar>
              <w:top w:w="110" w:type="dxa"/>
              <w:bottom w:w="11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☐ 審核通過：辯證深入，成功破除思考盲點，痛點精準具象。</w:t>
              <w:br/>
              <w:t>☐ 建議微調：反詰深度良好，但利害關係人因應策略需更具體。</w:t>
              <w:br/>
              <w:t>☐ 重新提問：對話仍停留在表面讚美，未啟動批判性詰問，建議重設 Prompt。</w:t>
            </w:r>
          </w:p>
        </w:tc>
      </w:tr>
      <w:tr>
        <w:tc>
          <w:tcPr>
            <w:tcW w:type="dxa" w:w="2880"/>
            <w:tcMar>
              <w:top w:w="110" w:type="dxa"/>
              <w:bottom w:w="11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DF2E9"/>
          </w:tcPr>
          <w:p>
            <w:r>
              <w:rPr>
                <w:b/>
              </w:rPr>
              <w:t>教師指導建議與簽章</w:t>
            </w:r>
          </w:p>
        </w:tc>
        <w:tc>
          <w:tcPr>
            <w:tcW w:type="dxa" w:w="7056"/>
            <w:tcMar>
              <w:top w:w="110" w:type="dxa"/>
              <w:bottom w:w="11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rPr>
                <w:sz w:val="18"/>
              </w:rPr>
              <w:t>指導意見：</w:t>
              <w:br/>
              <w:br/>
              <w:br/>
              <w:t>審查簽名：____________________    日期：2026 年 9 月 23 日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