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Efficient High-Resolution VQA under a Visual-Token Budget:</w:t>
        <w:br/>
        <w:t>Joint Probe–Zoom Routing for HR-Bench 4K</w:t>
      </w:r>
    </w:p>
    <w:p>
      <w:pPr>
        <w:jc w:val="left"/>
      </w:pPr>
      <w:r>
        <w:rPr>
          <w:i w:val="0"/>
          <w:sz w:val="20"/>
        </w:rPr>
        <w:t>Advanced Topics in Multimodal AI — Midterm Project 1      Student ID: 2026xxxxxx      Name: ________</w:t>
      </w:r>
    </w:p>
    <w:p>
      <w:pPr>
        <w:pStyle w:val="Heading1"/>
      </w:pPr>
      <w:r>
        <w:t>1. Overview</w:t>
      </w:r>
    </w:p>
    <w:p>
      <w:pPr>
        <w:jc w:val="both"/>
      </w:pPr>
      <w:r>
        <w:rPr>
          <w:i w:val="0"/>
        </w:rPr>
        <w:t>We design a training-free inference procedure that answers HR-Bench 4K (200 questions × 4 option orderings = 800 instances) with a frozen Qwen3-VL-2B-Instruct, while keeping the mean cumulative number of visual tokens per instance below 4,096 (Success 1) or 2,048 (Success 2). The method has three ingredients: (1) a joint probe that obtains both the answer distribution and an evidence bounding box from a single low-resolution global view, (2) confidence-based early stopping, and (3) a text-only question-type classifier that routes uncertain instances either to a zoomed crop or to a higher-resolution global re-observation.</w:t>
      </w:r>
    </w:p>
    <w:tbl>
      <w:tblPr>
        <w:tblStyle w:val="TableGrid"/>
        <w:tblW w:type="auto" w:w="0"/>
        <w:jc w:val="center"/>
        <w:tblLayout w:type="fixed"/>
        <w:tblLook w:firstColumn="1" w:firstRow="1" w:lastColumn="0" w:lastRow="0" w:noHBand="0" w:noVBand="1" w:val="04A0"/>
      </w:tblPr>
      <w:tblGrid>
        <w:gridCol w:w="1247"/>
        <w:gridCol w:w="1928"/>
        <w:gridCol w:w="1247"/>
        <w:gridCol w:w="907"/>
        <w:gridCol w:w="907"/>
        <w:gridCol w:w="2154"/>
      </w:tblGrid>
      <w:tr>
        <w:tc>
          <w:tcPr>
            <w:tcW w:type="dxa" w:w="1247"/>
          </w:tcPr>
          <w:p>
            <w:pPr>
              <w:spacing w:after="0"/>
            </w:pPr>
            <w:r>
              <w:rPr>
                <w:b/>
                <w:sz w:val="19"/>
              </w:rPr>
              <w:t>Condition</w:t>
            </w:r>
          </w:p>
        </w:tc>
        <w:tc>
          <w:tcPr>
            <w:tcW w:type="dxa" w:w="1928"/>
          </w:tcPr>
          <w:p>
            <w:pPr>
              <w:spacing w:after="0"/>
              <w:jc w:val="center"/>
            </w:pPr>
            <w:r>
              <w:rPr>
                <w:b/>
                <w:sz w:val="19"/>
              </w:rPr>
              <w:t>Mean visual tokens</w:t>
            </w:r>
          </w:p>
        </w:tc>
        <w:tc>
          <w:tcPr>
            <w:tcW w:type="dxa" w:w="1247"/>
          </w:tcPr>
          <w:p>
            <w:pPr>
              <w:spacing w:after="0"/>
              <w:jc w:val="center"/>
            </w:pPr>
            <w:r>
              <w:rPr>
                <w:b/>
                <w:sz w:val="19"/>
              </w:rPr>
              <w:t>Accuracy (%)</w:t>
            </w:r>
          </w:p>
        </w:tc>
        <w:tc>
          <w:tcPr>
            <w:tcW w:type="dxa" w:w="907"/>
          </w:tcPr>
          <w:p>
            <w:pPr>
              <w:spacing w:after="0"/>
              <w:jc w:val="center"/>
            </w:pPr>
            <w:r>
              <w:rPr>
                <w:b/>
                <w:sz w:val="19"/>
              </w:rPr>
              <w:t>Single</w:t>
            </w:r>
          </w:p>
        </w:tc>
        <w:tc>
          <w:tcPr>
            <w:tcW w:type="dxa" w:w="907"/>
          </w:tcPr>
          <w:p>
            <w:pPr>
              <w:spacing w:after="0"/>
              <w:jc w:val="center"/>
            </w:pPr>
            <w:r>
              <w:rPr>
                <w:b/>
                <w:sz w:val="19"/>
              </w:rPr>
              <w:t>Cross</w:t>
            </w:r>
          </w:p>
        </w:tc>
        <w:tc>
          <w:tcPr>
            <w:tcW w:type="dxa" w:w="2154"/>
          </w:tcPr>
          <w:p>
            <w:pPr>
              <w:spacing w:after="0"/>
              <w:jc w:val="center"/>
            </w:pPr>
            <w:r>
              <w:rPr>
                <w:b/>
                <w:sz w:val="19"/>
              </w:rPr>
              <w:t>Target (Main / Optional)</w:t>
            </w:r>
          </w:p>
        </w:tc>
      </w:tr>
      <w:tr>
        <w:tc>
          <w:tcPr>
            <w:tcW w:type="dxa" w:w="1247"/>
          </w:tcPr>
          <w:p>
            <w:pPr>
              <w:spacing w:after="0"/>
            </w:pPr>
            <w:r>
              <w:rPr>
                <w:b w:val="0"/>
                <w:sz w:val="19"/>
              </w:rPr>
              <w:t>Success 1</w:t>
            </w:r>
          </w:p>
        </w:tc>
        <w:tc>
          <w:tcPr>
            <w:tcW w:type="dxa" w:w="1928"/>
          </w:tcPr>
          <w:p>
            <w:pPr>
              <w:spacing w:after="0"/>
              <w:jc w:val="center"/>
            </w:pPr>
            <w:r>
              <w:rPr>
                <w:b w:val="0"/>
                <w:sz w:val="19"/>
              </w:rPr>
              <w:t>2730.2 ≤ 4,096</w:t>
            </w:r>
          </w:p>
        </w:tc>
        <w:tc>
          <w:tcPr>
            <w:tcW w:type="dxa" w:w="1247"/>
          </w:tcPr>
          <w:p>
            <w:pPr>
              <w:spacing w:after="0"/>
              <w:jc w:val="center"/>
            </w:pPr>
            <w:r>
              <w:rPr>
                <w:b w:val="0"/>
                <w:sz w:val="19"/>
              </w:rPr>
              <w:t>74.00</w:t>
            </w:r>
          </w:p>
        </w:tc>
        <w:tc>
          <w:tcPr>
            <w:tcW w:type="dxa" w:w="907"/>
          </w:tcPr>
          <w:p>
            <w:pPr>
              <w:spacing w:after="0"/>
              <w:jc w:val="center"/>
            </w:pPr>
            <w:r>
              <w:rPr>
                <w:b w:val="0"/>
                <w:sz w:val="19"/>
              </w:rPr>
              <w:t>88.00</w:t>
            </w:r>
          </w:p>
        </w:tc>
        <w:tc>
          <w:tcPr>
            <w:tcW w:type="dxa" w:w="907"/>
          </w:tcPr>
          <w:p>
            <w:pPr>
              <w:spacing w:after="0"/>
              <w:jc w:val="center"/>
            </w:pPr>
            <w:r>
              <w:rPr>
                <w:b w:val="0"/>
                <w:sz w:val="19"/>
              </w:rPr>
              <w:t>60.00</w:t>
            </w:r>
          </w:p>
        </w:tc>
        <w:tc>
          <w:tcPr>
            <w:tcW w:type="dxa" w:w="2154"/>
          </w:tcPr>
          <w:p>
            <w:pPr>
              <w:spacing w:after="0"/>
              <w:jc w:val="center"/>
            </w:pPr>
            <w:r>
              <w:rPr>
                <w:b w:val="0"/>
                <w:sz w:val="19"/>
              </w:rPr>
              <w:t>≥71 ✓ / ≥74 ✓</w:t>
            </w:r>
          </w:p>
        </w:tc>
      </w:tr>
      <w:tr>
        <w:tc>
          <w:tcPr>
            <w:tcW w:type="dxa" w:w="1247"/>
          </w:tcPr>
          <w:p>
            <w:pPr>
              <w:spacing w:after="0"/>
            </w:pPr>
            <w:r>
              <w:rPr>
                <w:b w:val="0"/>
                <w:sz w:val="19"/>
              </w:rPr>
              <w:t>Success 2</w:t>
            </w:r>
          </w:p>
        </w:tc>
        <w:tc>
          <w:tcPr>
            <w:tcW w:type="dxa" w:w="1928"/>
          </w:tcPr>
          <w:p>
            <w:pPr>
              <w:spacing w:after="0"/>
              <w:jc w:val="center"/>
            </w:pPr>
            <w:r>
              <w:rPr>
                <w:b w:val="0"/>
                <w:sz w:val="19"/>
              </w:rPr>
              <w:t>1354.4 ≤ 2,048</w:t>
            </w:r>
          </w:p>
        </w:tc>
        <w:tc>
          <w:tcPr>
            <w:tcW w:type="dxa" w:w="1247"/>
          </w:tcPr>
          <w:p>
            <w:pPr>
              <w:spacing w:after="0"/>
              <w:jc w:val="center"/>
            </w:pPr>
            <w:r>
              <w:rPr>
                <w:b w:val="0"/>
                <w:sz w:val="19"/>
              </w:rPr>
              <w:t>71.88</w:t>
            </w:r>
          </w:p>
        </w:tc>
        <w:tc>
          <w:tcPr>
            <w:tcW w:type="dxa" w:w="907"/>
          </w:tcPr>
          <w:p>
            <w:pPr>
              <w:spacing w:after="0"/>
              <w:jc w:val="center"/>
            </w:pPr>
            <w:r>
              <w:rPr>
                <w:b w:val="0"/>
                <w:sz w:val="19"/>
              </w:rPr>
              <w:t>88.75</w:t>
            </w:r>
          </w:p>
        </w:tc>
        <w:tc>
          <w:tcPr>
            <w:tcW w:type="dxa" w:w="907"/>
          </w:tcPr>
          <w:p>
            <w:pPr>
              <w:spacing w:after="0"/>
              <w:jc w:val="center"/>
            </w:pPr>
            <w:r>
              <w:rPr>
                <w:b w:val="0"/>
                <w:sz w:val="19"/>
              </w:rPr>
              <w:t>55.00</w:t>
            </w:r>
          </w:p>
        </w:tc>
        <w:tc>
          <w:tcPr>
            <w:tcW w:type="dxa" w:w="2154"/>
          </w:tcPr>
          <w:p>
            <w:pPr>
              <w:spacing w:after="0"/>
              <w:jc w:val="center"/>
            </w:pPr>
            <w:r>
              <w:rPr>
                <w:b w:val="0"/>
                <w:sz w:val="19"/>
              </w:rPr>
              <w:t>≥68 ✓ / ≥71 ✓</w:t>
            </w:r>
          </w:p>
        </w:tc>
      </w:tr>
    </w:tbl>
    <w:p>
      <w:pPr>
        <w:spacing w:after="120"/>
        <w:jc w:val="center"/>
      </w:pPr>
      <w:r>
        <w:rPr>
          <w:i/>
          <w:sz w:val="18"/>
        </w:rPr>
        <w:t>Table 1. Final results (all 800 instances, end-to-end runs; a fresh re-run reproduced all 800 predictions and token counts).</w:t>
      </w:r>
    </w:p>
    <w:p>
      <w:pPr>
        <w:pStyle w:val="Heading1"/>
      </w:pPr>
      <w:r>
        <w:t>2. Method</w:t>
      </w:r>
    </w:p>
    <w:p>
      <w:pPr>
        <w:pStyle w:val="Heading2"/>
      </w:pPr>
      <w:r>
        <w:t>2.1 Visual-token accounting</w:t>
      </w:r>
    </w:p>
    <w:p>
      <w:pPr>
        <w:jc w:val="both"/>
      </w:pPr>
      <w:r>
        <w:rPr>
          <w:i w:val="0"/>
        </w:rPr>
        <w:t>Qwen3-VL uses 16×16 patches with 2×2 spatial merging, so one visual token covers 32×32 pixels. 136 of the 200 images are 4032×4032, which costs about 15,876 tokens at native resolution; the 4K and 2K budgets are therefore only 26% and 13% of the native cost. Every input image is resized by us (PIL Lanczos) to width and height that are multiples of 32 before it is passed to the official processor, so the processor does not resize it again. The token count is measured from the processor's image_grid_thw as N = t·h·w/4 (the number of &lt;|image_pad|&gt; tokens). An image sent twice within an instance is counted twice, and no KV cache is reused across calls. The dataset's category and answer fields are used only for scoring and analysis.</w:t>
      </w:r>
    </w:p>
    <w:p>
      <w:pPr>
        <w:pStyle w:val="Heading2"/>
      </w:pPr>
      <w:r>
        <w:t>2.2 Inference pipeline</w:t>
      </w:r>
    </w:p>
    <w:p>
      <w:pPr>
        <w:keepNext/>
        <w:jc w:val="center"/>
      </w:pPr>
      <w:r>
        <w:drawing>
          <wp:inline xmlns:a="http://schemas.openxmlformats.org/drawingml/2006/main" xmlns:pic="http://schemas.openxmlformats.org/drawingml/2006/picture">
            <wp:extent cx="6120000" cy="18360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120000" cy="1836000"/>
                    </a:xfrm>
                    <a:prstGeom prst="rect"/>
                  </pic:spPr>
                </pic:pic>
              </a:graphicData>
            </a:graphic>
          </wp:inline>
        </w:drawing>
      </w:r>
    </w:p>
    <w:p>
      <w:pPr>
        <w:spacing w:after="120"/>
        <w:jc w:val="center"/>
      </w:pPr>
      <w:r>
        <w:rPr>
          <w:i/>
          <w:sz w:val="18"/>
        </w:rPr>
        <w:t>Figure 1. Final pipeline. Only the blue boxes consume visual tokens.</w:t>
      </w:r>
    </w:p>
    <w:p>
      <w:pPr>
        <w:pStyle w:val="ListBullet"/>
        <w:spacing w:after="20"/>
      </w:pPr>
      <w:r>
        <w:rPr>
          <w:b/>
        </w:rPr>
        <w:t>Call 1 – Joint probe.</w:t>
      </w:r>
      <w:r>
        <w:t xml:space="preserve"> The whole image is resized to 1,024 tokens (4032² → 1024² px) and the model is prompted to output the option letter first and then the bounding box of the evidence region. The A–D distribution p1 is the softmax over the four letter logits at the first decoding step. If max p1 ≥ τ, a stopping criterion ends generation right after that token. Otherwise the bbox_2d (0–1000 relative coordinates) produced later in the same generation is used, so locating the region costs no extra visual tokens.</w:t>
      </w:r>
    </w:p>
    <w:p>
      <w:pPr>
        <w:pStyle w:val="ListBullet"/>
        <w:spacing w:after="20"/>
      </w:pPr>
      <w:r>
        <w:rPr>
          <w:b/>
        </w:rPr>
        <w:t>Call 2 – Type classification (0 visual tokens).</w:t>
      </w:r>
      <w:r>
        <w:t xml:space="preserve"> Only for uncertain instances, Qwen sees the question and options without any image and decides whether the question needs (A) a fine detail of one object/region or (B) relations among multiple objects, counting, or scene layout. The instance is routed to A if P(A) ≥ 0.3 at the first token.</w:t>
      </w:r>
    </w:p>
    <w:p>
      <w:pPr>
        <w:pStyle w:val="ListBullet"/>
        <w:spacing w:after="20"/>
      </w:pPr>
      <w:r>
        <w:rPr>
          <w:b/>
        </w:rPr>
        <w:t>Call 3 – Type-specific escalation.</w:t>
      </w:r>
      <w:r>
        <w:t xml:space="preserve"> Type A: the probe box is expanded 2× (minimum side = 25% of the short image side, ≈1,008 px), cropped from the original image, and fed at ≤1,024 tokens (Success 1 additionally allows up to 2× up-scaling), with the prefix 'This image is a zoomed-in crop of a larger image.' Type B: Success 1 re-observes the whole image at 4,096 tokens; Success 2 keeps the probe answer and makes no further call.</w:t>
      </w:r>
    </w:p>
    <w:p>
      <w:pPr>
        <w:pStyle w:val="ListBullet"/>
        <w:spacing w:after="20"/>
      </w:pPr>
      <w:r>
        <w:rPr>
          <w:b/>
        </w:rPr>
        <w:t>Fusion.</w:t>
      </w:r>
      <w:r>
        <w:t xml:space="preserve"> Final answer = argmax(α·log p1 + log p_esc), with α = 0.25 for type A and α = 0 for type B.</w:t>
      </w:r>
    </w:p>
    <w:p>
      <w:pPr>
        <w:jc w:val="both"/>
      </w:pPr>
      <w:r>
        <w:rPr>
          <w:i w:val="0"/>
          <w:sz w:val="19"/>
        </w:rPr>
        <w:t xml:space="preserve">Joint-probe prompt: </w:t>
      </w:r>
      <w:r>
        <w:rPr>
          <w:sz w:val="17"/>
        </w:rPr>
        <w:t>"{question}\nA. …\nB. …\nC. …\nD. …\nAnswer with the option's letter from the given choices directly. Then, on a new line, output the bounding box of the image region that contains the evidence for your answer in JSON format {\"bbox_2d\": [x1, y1, x2, y2]}."</w:t>
      </w:r>
    </w:p>
    <w:p>
      <w:pPr>
        <w:jc w:val="both"/>
      </w:pPr>
      <w:r>
        <w:rPr>
          <w:i w:val="0"/>
          <w:sz w:val="19"/>
        </w:rPr>
        <w:t xml:space="preserve">Type prompt: </w:t>
      </w:r>
      <w:r>
        <w:rPr>
          <w:sz w:val="17"/>
        </w:rPr>
        <w:t>You will see a multiple-choice question about a high-resolution image. / Question: {question} / Options: / {options} /  / Which kind of visual evidence is needed to answer it? / A. A fine detail of one single object or one small region (e.g., text, color, a small object's attribute). / B. The spatial relationship between multiple objects, counting several objects, or the overall layout of the scene. / Answer with A or B.</w:t>
      </w:r>
    </w:p>
    <w:tbl>
      <w:tblPr>
        <w:tblStyle w:val="TableGrid"/>
        <w:tblW w:type="auto" w:w="0"/>
        <w:jc w:val="center"/>
        <w:tblLayout w:type="fixed"/>
        <w:tblLook w:firstColumn="1" w:firstRow="1" w:lastColumn="0" w:lastRow="0" w:noHBand="0" w:noVBand="1" w:val="04A0"/>
      </w:tblPr>
      <w:tblGrid>
        <w:gridCol w:w="1134"/>
        <w:gridCol w:w="1020"/>
        <w:gridCol w:w="794"/>
        <w:gridCol w:w="907"/>
        <w:gridCol w:w="2835"/>
        <w:gridCol w:w="1587"/>
        <w:gridCol w:w="1020"/>
      </w:tblGrid>
      <w:tr>
        <w:tc>
          <w:tcPr>
            <w:tcW w:type="dxa" w:w="1134"/>
          </w:tcPr>
          <w:p>
            <w:pPr>
              <w:spacing w:after="0"/>
            </w:pPr>
            <w:r>
              <w:rPr>
                <w:b/>
                <w:sz w:val="17"/>
              </w:rPr>
              <w:t>Config</w:t>
            </w:r>
          </w:p>
        </w:tc>
        <w:tc>
          <w:tcPr>
            <w:tcW w:type="dxa" w:w="1020"/>
          </w:tcPr>
          <w:p>
            <w:pPr>
              <w:spacing w:after="0"/>
              <w:jc w:val="center"/>
            </w:pPr>
            <w:r>
              <w:rPr>
                <w:b/>
                <w:sz w:val="17"/>
              </w:rPr>
              <w:t>Probe</w:t>
            </w:r>
          </w:p>
        </w:tc>
        <w:tc>
          <w:tcPr>
            <w:tcW w:type="dxa" w:w="794"/>
          </w:tcPr>
          <w:p>
            <w:pPr>
              <w:spacing w:after="0"/>
              <w:jc w:val="center"/>
            </w:pPr>
            <w:r>
              <w:rPr>
                <w:b/>
                <w:sz w:val="17"/>
              </w:rPr>
              <w:t>τ</w:t>
            </w:r>
          </w:p>
        </w:tc>
        <w:tc>
          <w:tcPr>
            <w:tcW w:type="dxa" w:w="907"/>
          </w:tcPr>
          <w:p>
            <w:pPr>
              <w:spacing w:after="0"/>
              <w:jc w:val="center"/>
            </w:pPr>
            <w:r>
              <w:rPr>
                <w:b/>
                <w:sz w:val="17"/>
              </w:rPr>
              <w:t>Type thr.</w:t>
            </w:r>
          </w:p>
        </w:tc>
        <w:tc>
          <w:tcPr>
            <w:tcW w:type="dxa" w:w="2835"/>
          </w:tcPr>
          <w:p>
            <w:pPr>
              <w:spacing w:after="0"/>
              <w:jc w:val="center"/>
            </w:pPr>
            <w:r>
              <w:rPr>
                <w:b/>
                <w:sz w:val="17"/>
              </w:rPr>
              <w:t>Type A (crop)</w:t>
            </w:r>
          </w:p>
        </w:tc>
        <w:tc>
          <w:tcPr>
            <w:tcW w:type="dxa" w:w="1587"/>
          </w:tcPr>
          <w:p>
            <w:pPr>
              <w:spacing w:after="0"/>
              <w:jc w:val="center"/>
            </w:pPr>
            <w:r>
              <w:rPr>
                <w:b/>
                <w:sz w:val="17"/>
              </w:rPr>
              <w:t>Type B</w:t>
            </w:r>
          </w:p>
        </w:tc>
        <w:tc>
          <w:tcPr>
            <w:tcW w:type="dxa" w:w="1020"/>
          </w:tcPr>
          <w:p>
            <w:pPr>
              <w:spacing w:after="0"/>
              <w:jc w:val="center"/>
            </w:pPr>
            <w:r>
              <w:rPr>
                <w:b/>
                <w:sz w:val="17"/>
              </w:rPr>
              <w:t>α (A / B)</w:t>
            </w:r>
          </w:p>
        </w:tc>
      </w:tr>
      <w:tr>
        <w:tc>
          <w:tcPr>
            <w:tcW w:type="dxa" w:w="1134"/>
          </w:tcPr>
          <w:p>
            <w:pPr>
              <w:spacing w:after="0"/>
            </w:pPr>
            <w:r>
              <w:rPr>
                <w:b w:val="0"/>
                <w:sz w:val="17"/>
              </w:rPr>
              <w:t>Success 1</w:t>
            </w:r>
          </w:p>
        </w:tc>
        <w:tc>
          <w:tcPr>
            <w:tcW w:type="dxa" w:w="1020"/>
          </w:tcPr>
          <w:p>
            <w:pPr>
              <w:spacing w:after="0"/>
              <w:jc w:val="center"/>
            </w:pPr>
            <w:r>
              <w:rPr>
                <w:b w:val="0"/>
                <w:sz w:val="17"/>
              </w:rPr>
              <w:t>1,024 tok</w:t>
            </w:r>
          </w:p>
        </w:tc>
        <w:tc>
          <w:tcPr>
            <w:tcW w:type="dxa" w:w="794"/>
          </w:tcPr>
          <w:p>
            <w:pPr>
              <w:spacing w:after="0"/>
              <w:jc w:val="center"/>
            </w:pPr>
            <w:r>
              <w:rPr>
                <w:b w:val="0"/>
                <w:sz w:val="17"/>
              </w:rPr>
              <w:t>0.995</w:t>
            </w:r>
          </w:p>
        </w:tc>
        <w:tc>
          <w:tcPr>
            <w:tcW w:type="dxa" w:w="907"/>
          </w:tcPr>
          <w:p>
            <w:pPr>
              <w:spacing w:after="0"/>
              <w:jc w:val="center"/>
            </w:pPr>
            <w:r>
              <w:rPr>
                <w:b w:val="0"/>
                <w:sz w:val="17"/>
              </w:rPr>
              <w:t>0.3</w:t>
            </w:r>
          </w:p>
        </w:tc>
        <w:tc>
          <w:tcPr>
            <w:tcW w:type="dxa" w:w="2835"/>
          </w:tcPr>
          <w:p>
            <w:pPr>
              <w:spacing w:after="0"/>
              <w:jc w:val="center"/>
            </w:pPr>
            <w:r>
              <w:rPr>
                <w:b w:val="0"/>
                <w:sz w:val="17"/>
              </w:rPr>
              <w:t>≤1,024 tok, 2× expand, up-scale ≤2</w:t>
            </w:r>
          </w:p>
        </w:tc>
        <w:tc>
          <w:tcPr>
            <w:tcW w:type="dxa" w:w="1587"/>
          </w:tcPr>
          <w:p>
            <w:pPr>
              <w:spacing w:after="0"/>
              <w:jc w:val="center"/>
            </w:pPr>
            <w:r>
              <w:rPr>
                <w:b w:val="0"/>
                <w:sz w:val="17"/>
              </w:rPr>
              <w:t>global 4,096 tok</w:t>
            </w:r>
          </w:p>
        </w:tc>
        <w:tc>
          <w:tcPr>
            <w:tcW w:type="dxa" w:w="1020"/>
          </w:tcPr>
          <w:p>
            <w:pPr>
              <w:spacing w:after="0"/>
              <w:jc w:val="center"/>
            </w:pPr>
            <w:r>
              <w:rPr>
                <w:b w:val="0"/>
                <w:sz w:val="17"/>
              </w:rPr>
              <w:t>0.25 / 0</w:t>
            </w:r>
          </w:p>
        </w:tc>
      </w:tr>
      <w:tr>
        <w:tc>
          <w:tcPr>
            <w:tcW w:type="dxa" w:w="1134"/>
          </w:tcPr>
          <w:p>
            <w:pPr>
              <w:spacing w:after="0"/>
            </w:pPr>
            <w:r>
              <w:rPr>
                <w:b w:val="0"/>
                <w:sz w:val="17"/>
              </w:rPr>
              <w:t>Success 2</w:t>
            </w:r>
          </w:p>
        </w:tc>
        <w:tc>
          <w:tcPr>
            <w:tcW w:type="dxa" w:w="1020"/>
          </w:tcPr>
          <w:p>
            <w:pPr>
              <w:spacing w:after="0"/>
              <w:jc w:val="center"/>
            </w:pPr>
            <w:r>
              <w:rPr>
                <w:b w:val="0"/>
                <w:sz w:val="17"/>
              </w:rPr>
              <w:t>1,024 tok</w:t>
            </w:r>
          </w:p>
        </w:tc>
        <w:tc>
          <w:tcPr>
            <w:tcW w:type="dxa" w:w="794"/>
          </w:tcPr>
          <w:p>
            <w:pPr>
              <w:spacing w:after="0"/>
              <w:jc w:val="center"/>
            </w:pPr>
            <w:r>
              <w:rPr>
                <w:b w:val="0"/>
                <w:sz w:val="17"/>
              </w:rPr>
              <w:t>0.999</w:t>
            </w:r>
          </w:p>
        </w:tc>
        <w:tc>
          <w:tcPr>
            <w:tcW w:type="dxa" w:w="907"/>
          </w:tcPr>
          <w:p>
            <w:pPr>
              <w:spacing w:after="0"/>
              <w:jc w:val="center"/>
            </w:pPr>
            <w:r>
              <w:rPr>
                <w:b w:val="0"/>
                <w:sz w:val="17"/>
              </w:rPr>
              <w:t>0.3</w:t>
            </w:r>
          </w:p>
        </w:tc>
        <w:tc>
          <w:tcPr>
            <w:tcW w:type="dxa" w:w="2835"/>
          </w:tcPr>
          <w:p>
            <w:pPr>
              <w:spacing w:after="0"/>
              <w:jc w:val="center"/>
            </w:pPr>
            <w:r>
              <w:rPr>
                <w:b w:val="0"/>
                <w:sz w:val="17"/>
              </w:rPr>
              <w:t>≤1,024 tok, 2× expand</w:t>
            </w:r>
          </w:p>
        </w:tc>
        <w:tc>
          <w:tcPr>
            <w:tcW w:type="dxa" w:w="1587"/>
          </w:tcPr>
          <w:p>
            <w:pPr>
              <w:spacing w:after="0"/>
              <w:jc w:val="center"/>
            </w:pPr>
            <w:r>
              <w:rPr>
                <w:b w:val="0"/>
                <w:sz w:val="17"/>
              </w:rPr>
              <w:t>keep probe answer</w:t>
            </w:r>
          </w:p>
        </w:tc>
        <w:tc>
          <w:tcPr>
            <w:tcW w:type="dxa" w:w="1020"/>
          </w:tcPr>
          <w:p>
            <w:pPr>
              <w:spacing w:after="0"/>
              <w:jc w:val="center"/>
            </w:pPr>
            <w:r>
              <w:rPr>
                <w:b w:val="0"/>
                <w:sz w:val="17"/>
              </w:rPr>
              <w:t>0.25 / –</w:t>
            </w:r>
          </w:p>
        </w:tc>
      </w:tr>
    </w:tbl>
    <w:p>
      <w:pPr>
        <w:spacing w:after="120"/>
        <w:jc w:val="center"/>
      </w:pPr>
      <w:r>
        <w:rPr>
          <w:i/>
          <w:sz w:val="18"/>
        </w:rPr>
        <w:t>Table 2. Final hyper-parameters (configs/success1_4k.yaml, configs/success2_2k.yaml).</w:t>
      </w:r>
    </w:p>
    <w:p>
      <w:pPr>
        <w:jc w:val="both"/>
      </w:pPr>
      <w:r>
        <w:rPr>
          <w:i w:val="0"/>
        </w:rPr>
        <w:t>Configuration search. Each stage (probe, several crop variants, global re-observation) was first run once on all 800 instances without early stopping, logging per-instance A–D probabilities, boxes and token counts. Since later stages do not depend on the stopping threshold, the accuracy and exact mean token cost of any (τ, threshold, crop variant, α) combination can be computed offline without re-running the model. The selected configurations were then verified with full end-to-end runs (offline 74.00% / 72.00% → end-to-end 74.00% / 71.88%).</w:t>
      </w:r>
    </w:p>
    <w:p>
      <w:pPr>
        <w:pStyle w:val="Heading1"/>
      </w:pPr>
      <w:r>
        <w:t>3. Experimental setup</w:t>
      </w:r>
    </w:p>
    <w:p>
      <w:pPr>
        <w:jc w:val="both"/>
      </w:pPr>
      <w:r>
        <w:rPr>
          <w:i w:val="0"/>
        </w:rPr>
        <w:t>One RTX 3090 (24 GB) per run, Python 3.11, PyTorch 2.5.1 (CUDA 12.4), transformers 4.57.1, bf16, SDPA attention, batch size 1. Every call uses the original Qwen/Qwen3-VL-2B-Instruct checkpoint and its official AutoProcessor. Decoding is greedy (do_sample=False, num_beams=1); thinking mode and beam search are not used. Multiple-choice answers are read from the A–D logits at the first decoding step, so there are no format errors. Latency is the end-to-end wall-clock time per instance, including image decoding and resizing. Every instance is processed independently; nothing is shared across the four orderings of the same question.</w:t>
      </w:r>
    </w:p>
    <w:p>
      <w:pPr>
        <w:pStyle w:val="Heading1"/>
      </w:pPr>
      <w:r>
        <w:t>4. Results</w:t>
      </w:r>
    </w:p>
    <w:tbl>
      <w:tblPr>
        <w:tblStyle w:val="TableGrid"/>
        <w:tblW w:type="auto" w:w="0"/>
        <w:jc w:val="center"/>
        <w:tblLayout w:type="fixed"/>
        <w:tblLook w:firstColumn="1" w:firstRow="1" w:lastColumn="0" w:lastRow="0" w:noHBand="0" w:noVBand="1" w:val="04A0"/>
      </w:tblPr>
      <w:tblGrid>
        <w:gridCol w:w="3515"/>
        <w:gridCol w:w="1474"/>
        <w:gridCol w:w="907"/>
        <w:gridCol w:w="907"/>
        <w:gridCol w:w="907"/>
        <w:gridCol w:w="1020"/>
      </w:tblGrid>
      <w:tr>
        <w:tc>
          <w:tcPr>
            <w:tcW w:type="dxa" w:w="3515"/>
          </w:tcPr>
          <w:p>
            <w:pPr>
              <w:spacing w:after="0"/>
            </w:pPr>
            <w:r>
              <w:rPr>
                <w:b/>
                <w:sz w:val="17"/>
              </w:rPr>
              <w:t>Method</w:t>
            </w:r>
          </w:p>
        </w:tc>
        <w:tc>
          <w:tcPr>
            <w:tcW w:type="dxa" w:w="1474"/>
          </w:tcPr>
          <w:p>
            <w:pPr>
              <w:spacing w:after="0"/>
              <w:jc w:val="center"/>
            </w:pPr>
            <w:r>
              <w:rPr>
                <w:b/>
                <w:sz w:val="17"/>
              </w:rPr>
              <w:t>Mean visual tok</w:t>
            </w:r>
          </w:p>
        </w:tc>
        <w:tc>
          <w:tcPr>
            <w:tcW w:type="dxa" w:w="907"/>
          </w:tcPr>
          <w:p>
            <w:pPr>
              <w:spacing w:after="0"/>
              <w:jc w:val="center"/>
            </w:pPr>
            <w:r>
              <w:rPr>
                <w:b/>
                <w:sz w:val="17"/>
              </w:rPr>
              <w:t>Acc</w:t>
            </w:r>
          </w:p>
        </w:tc>
        <w:tc>
          <w:tcPr>
            <w:tcW w:type="dxa" w:w="907"/>
          </w:tcPr>
          <w:p>
            <w:pPr>
              <w:spacing w:after="0"/>
              <w:jc w:val="center"/>
            </w:pPr>
            <w:r>
              <w:rPr>
                <w:b/>
                <w:sz w:val="17"/>
              </w:rPr>
              <w:t>Single</w:t>
            </w:r>
          </w:p>
        </w:tc>
        <w:tc>
          <w:tcPr>
            <w:tcW w:type="dxa" w:w="907"/>
          </w:tcPr>
          <w:p>
            <w:pPr>
              <w:spacing w:after="0"/>
              <w:jc w:val="center"/>
            </w:pPr>
            <w:r>
              <w:rPr>
                <w:b/>
                <w:sz w:val="17"/>
              </w:rPr>
              <w:t>Cross</w:t>
            </w:r>
          </w:p>
        </w:tc>
        <w:tc>
          <w:tcPr>
            <w:tcW w:type="dxa" w:w="1020"/>
          </w:tcPr>
          <w:p>
            <w:pPr>
              <w:spacing w:after="0"/>
              <w:jc w:val="center"/>
            </w:pPr>
            <w:r>
              <w:rPr>
                <w:b/>
                <w:sz w:val="17"/>
              </w:rPr>
              <w:t>Mean calls</w:t>
            </w:r>
          </w:p>
        </w:tc>
      </w:tr>
      <w:tr>
        <w:tc>
          <w:tcPr>
            <w:tcW w:type="dxa" w:w="3515"/>
          </w:tcPr>
          <w:p>
            <w:pPr>
              <w:spacing w:after="0"/>
            </w:pPr>
            <w:r>
              <w:rPr>
                <w:b w:val="0"/>
                <w:sz w:val="17"/>
              </w:rPr>
              <w:t>Global resize 1024</w:t>
            </w:r>
          </w:p>
        </w:tc>
        <w:tc>
          <w:tcPr>
            <w:tcW w:type="dxa" w:w="1474"/>
          </w:tcPr>
          <w:p>
            <w:pPr>
              <w:spacing w:after="0"/>
              <w:jc w:val="center"/>
            </w:pPr>
            <w:r>
              <w:rPr>
                <w:b w:val="0"/>
                <w:sz w:val="17"/>
              </w:rPr>
              <w:t>1020.2</w:t>
            </w:r>
          </w:p>
        </w:tc>
        <w:tc>
          <w:tcPr>
            <w:tcW w:type="dxa" w:w="907"/>
          </w:tcPr>
          <w:p>
            <w:pPr>
              <w:spacing w:after="0"/>
              <w:jc w:val="center"/>
            </w:pPr>
            <w:r>
              <w:rPr>
                <w:b w:val="0"/>
                <w:sz w:val="17"/>
              </w:rPr>
              <w:t>63.00</w:t>
            </w:r>
          </w:p>
        </w:tc>
        <w:tc>
          <w:tcPr>
            <w:tcW w:type="dxa" w:w="907"/>
          </w:tcPr>
          <w:p>
            <w:pPr>
              <w:spacing w:after="0"/>
              <w:jc w:val="center"/>
            </w:pPr>
            <w:r>
              <w:rPr>
                <w:b w:val="0"/>
                <w:sz w:val="17"/>
              </w:rPr>
              <w:t>71.25</w:t>
            </w:r>
          </w:p>
        </w:tc>
        <w:tc>
          <w:tcPr>
            <w:tcW w:type="dxa" w:w="907"/>
          </w:tcPr>
          <w:p>
            <w:pPr>
              <w:spacing w:after="0"/>
              <w:jc w:val="center"/>
            </w:pPr>
            <w:r>
              <w:rPr>
                <w:b w:val="0"/>
                <w:sz w:val="17"/>
              </w:rPr>
              <w:t>54.75</w:t>
            </w:r>
          </w:p>
        </w:tc>
        <w:tc>
          <w:tcPr>
            <w:tcW w:type="dxa" w:w="1020"/>
          </w:tcPr>
          <w:p>
            <w:pPr>
              <w:spacing w:after="0"/>
              <w:jc w:val="center"/>
            </w:pPr>
            <w:r>
              <w:rPr>
                <w:b w:val="0"/>
                <w:sz w:val="17"/>
              </w:rPr>
              <w:t>1.00</w:t>
            </w:r>
          </w:p>
        </w:tc>
      </w:tr>
      <w:tr>
        <w:tc>
          <w:tcPr>
            <w:tcW w:type="dxa" w:w="3515"/>
          </w:tcPr>
          <w:p>
            <w:pPr>
              <w:spacing w:after="0"/>
            </w:pPr>
            <w:r>
              <w:rPr>
                <w:b w:val="0"/>
                <w:sz w:val="17"/>
              </w:rPr>
              <w:t>Global resize 2048</w:t>
            </w:r>
          </w:p>
        </w:tc>
        <w:tc>
          <w:tcPr>
            <w:tcW w:type="dxa" w:w="1474"/>
          </w:tcPr>
          <w:p>
            <w:pPr>
              <w:spacing w:after="0"/>
              <w:jc w:val="center"/>
            </w:pPr>
            <w:r>
              <w:rPr>
                <w:b w:val="0"/>
                <w:sz w:val="17"/>
              </w:rPr>
              <w:t>2028.2</w:t>
            </w:r>
          </w:p>
        </w:tc>
        <w:tc>
          <w:tcPr>
            <w:tcW w:type="dxa" w:w="907"/>
          </w:tcPr>
          <w:p>
            <w:pPr>
              <w:spacing w:after="0"/>
              <w:jc w:val="center"/>
            </w:pPr>
            <w:r>
              <w:rPr>
                <w:b w:val="0"/>
                <w:sz w:val="17"/>
              </w:rPr>
              <w:t>66.38</w:t>
            </w:r>
          </w:p>
        </w:tc>
        <w:tc>
          <w:tcPr>
            <w:tcW w:type="dxa" w:w="907"/>
          </w:tcPr>
          <w:p>
            <w:pPr>
              <w:spacing w:after="0"/>
              <w:jc w:val="center"/>
            </w:pPr>
            <w:r>
              <w:rPr>
                <w:b w:val="0"/>
                <w:sz w:val="17"/>
              </w:rPr>
              <w:t>78.00</w:t>
            </w:r>
          </w:p>
        </w:tc>
        <w:tc>
          <w:tcPr>
            <w:tcW w:type="dxa" w:w="907"/>
          </w:tcPr>
          <w:p>
            <w:pPr>
              <w:spacing w:after="0"/>
              <w:jc w:val="center"/>
            </w:pPr>
            <w:r>
              <w:rPr>
                <w:b w:val="0"/>
                <w:sz w:val="17"/>
              </w:rPr>
              <w:t>54.75</w:t>
            </w:r>
          </w:p>
        </w:tc>
        <w:tc>
          <w:tcPr>
            <w:tcW w:type="dxa" w:w="1020"/>
          </w:tcPr>
          <w:p>
            <w:pPr>
              <w:spacing w:after="0"/>
              <w:jc w:val="center"/>
            </w:pPr>
            <w:r>
              <w:rPr>
                <w:b w:val="0"/>
                <w:sz w:val="17"/>
              </w:rPr>
              <w:t>1.00</w:t>
            </w:r>
          </w:p>
        </w:tc>
      </w:tr>
      <w:tr>
        <w:tc>
          <w:tcPr>
            <w:tcW w:type="dxa" w:w="3515"/>
          </w:tcPr>
          <w:p>
            <w:pPr>
              <w:spacing w:after="0"/>
            </w:pPr>
            <w:r>
              <w:rPr>
                <w:b w:val="0"/>
                <w:sz w:val="17"/>
              </w:rPr>
              <w:t>Global resize 4096</w:t>
            </w:r>
          </w:p>
        </w:tc>
        <w:tc>
          <w:tcPr>
            <w:tcW w:type="dxa" w:w="1474"/>
          </w:tcPr>
          <w:p>
            <w:pPr>
              <w:spacing w:after="0"/>
              <w:jc w:val="center"/>
            </w:pPr>
            <w:r>
              <w:rPr>
                <w:b w:val="0"/>
                <w:sz w:val="17"/>
              </w:rPr>
              <w:t>4066.4</w:t>
            </w:r>
          </w:p>
        </w:tc>
        <w:tc>
          <w:tcPr>
            <w:tcW w:type="dxa" w:w="907"/>
          </w:tcPr>
          <w:p>
            <w:pPr>
              <w:spacing w:after="0"/>
              <w:jc w:val="center"/>
            </w:pPr>
            <w:r>
              <w:rPr>
                <w:b w:val="0"/>
                <w:sz w:val="17"/>
              </w:rPr>
              <w:t>70.50</w:t>
            </w:r>
          </w:p>
        </w:tc>
        <w:tc>
          <w:tcPr>
            <w:tcW w:type="dxa" w:w="907"/>
          </w:tcPr>
          <w:p>
            <w:pPr>
              <w:spacing w:after="0"/>
              <w:jc w:val="center"/>
            </w:pPr>
            <w:r>
              <w:rPr>
                <w:b w:val="0"/>
                <w:sz w:val="17"/>
              </w:rPr>
              <w:t>81.75</w:t>
            </w:r>
          </w:p>
        </w:tc>
        <w:tc>
          <w:tcPr>
            <w:tcW w:type="dxa" w:w="907"/>
          </w:tcPr>
          <w:p>
            <w:pPr>
              <w:spacing w:after="0"/>
              <w:jc w:val="center"/>
            </w:pPr>
            <w:r>
              <w:rPr>
                <w:b w:val="0"/>
                <w:sz w:val="17"/>
              </w:rPr>
              <w:t>59.25</w:t>
            </w:r>
          </w:p>
        </w:tc>
        <w:tc>
          <w:tcPr>
            <w:tcW w:type="dxa" w:w="1020"/>
          </w:tcPr>
          <w:p>
            <w:pPr>
              <w:spacing w:after="0"/>
              <w:jc w:val="center"/>
            </w:pPr>
            <w:r>
              <w:rPr>
                <w:b w:val="0"/>
                <w:sz w:val="17"/>
              </w:rPr>
              <w:t>1.00</w:t>
            </w:r>
          </w:p>
        </w:tc>
      </w:tr>
      <w:tr>
        <w:tc>
          <w:tcPr>
            <w:tcW w:type="dxa" w:w="3515"/>
          </w:tcPr>
          <w:p>
            <w:pPr>
              <w:spacing w:after="0"/>
            </w:pPr>
            <w:r>
              <w:rPr>
                <w:b w:val="0"/>
                <w:sz w:val="17"/>
              </w:rPr>
              <w:t>Global 512 + 2×2 tiles (384 tok each)</w:t>
            </w:r>
          </w:p>
        </w:tc>
        <w:tc>
          <w:tcPr>
            <w:tcW w:type="dxa" w:w="1474"/>
          </w:tcPr>
          <w:p>
            <w:pPr>
              <w:spacing w:after="0"/>
              <w:jc w:val="center"/>
            </w:pPr>
            <w:r>
              <w:rPr>
                <w:b w:val="0"/>
                <w:sz w:val="17"/>
              </w:rPr>
              <w:t>2025.5</w:t>
            </w:r>
          </w:p>
        </w:tc>
        <w:tc>
          <w:tcPr>
            <w:tcW w:type="dxa" w:w="907"/>
          </w:tcPr>
          <w:p>
            <w:pPr>
              <w:spacing w:after="0"/>
              <w:jc w:val="center"/>
            </w:pPr>
            <w:r>
              <w:rPr>
                <w:b w:val="0"/>
                <w:sz w:val="17"/>
              </w:rPr>
              <w:t>56.38</w:t>
            </w:r>
          </w:p>
        </w:tc>
        <w:tc>
          <w:tcPr>
            <w:tcW w:type="dxa" w:w="907"/>
          </w:tcPr>
          <w:p>
            <w:pPr>
              <w:spacing w:after="0"/>
              <w:jc w:val="center"/>
            </w:pPr>
            <w:r>
              <w:rPr>
                <w:b w:val="0"/>
                <w:sz w:val="17"/>
              </w:rPr>
              <w:t>65.00</w:t>
            </w:r>
          </w:p>
        </w:tc>
        <w:tc>
          <w:tcPr>
            <w:tcW w:type="dxa" w:w="907"/>
          </w:tcPr>
          <w:p>
            <w:pPr>
              <w:spacing w:after="0"/>
              <w:jc w:val="center"/>
            </w:pPr>
            <w:r>
              <w:rPr>
                <w:b w:val="0"/>
                <w:sz w:val="17"/>
              </w:rPr>
              <w:t>47.75</w:t>
            </w:r>
          </w:p>
        </w:tc>
        <w:tc>
          <w:tcPr>
            <w:tcW w:type="dxa" w:w="1020"/>
          </w:tcPr>
          <w:p>
            <w:pPr>
              <w:spacing w:after="0"/>
              <w:jc w:val="center"/>
            </w:pPr>
            <w:r>
              <w:rPr>
                <w:b w:val="0"/>
                <w:sz w:val="17"/>
              </w:rPr>
              <w:t>1.00</w:t>
            </w:r>
          </w:p>
        </w:tc>
      </w:tr>
      <w:tr>
        <w:tc>
          <w:tcPr>
            <w:tcW w:type="dxa" w:w="3515"/>
          </w:tcPr>
          <w:p>
            <w:pPr>
              <w:spacing w:after="0"/>
            </w:pPr>
            <w:r>
              <w:rPr>
                <w:b w:val="0"/>
                <w:sz w:val="17"/>
              </w:rPr>
              <w:t>Global 1024 + 2×2 tiles (768 tok each)</w:t>
            </w:r>
          </w:p>
        </w:tc>
        <w:tc>
          <w:tcPr>
            <w:tcW w:type="dxa" w:w="1474"/>
          </w:tcPr>
          <w:p>
            <w:pPr>
              <w:spacing w:after="0"/>
              <w:jc w:val="center"/>
            </w:pPr>
            <w:r>
              <w:rPr>
                <w:b w:val="0"/>
                <w:sz w:val="17"/>
              </w:rPr>
              <w:t>4040.4</w:t>
            </w:r>
          </w:p>
        </w:tc>
        <w:tc>
          <w:tcPr>
            <w:tcW w:type="dxa" w:w="907"/>
          </w:tcPr>
          <w:p>
            <w:pPr>
              <w:spacing w:after="0"/>
              <w:jc w:val="center"/>
            </w:pPr>
            <w:r>
              <w:rPr>
                <w:b w:val="0"/>
                <w:sz w:val="17"/>
              </w:rPr>
              <w:t>62.25</w:t>
            </w:r>
          </w:p>
        </w:tc>
        <w:tc>
          <w:tcPr>
            <w:tcW w:type="dxa" w:w="907"/>
          </w:tcPr>
          <w:p>
            <w:pPr>
              <w:spacing w:after="0"/>
              <w:jc w:val="center"/>
            </w:pPr>
            <w:r>
              <w:rPr>
                <w:b w:val="0"/>
                <w:sz w:val="17"/>
              </w:rPr>
              <w:t>73.50</w:t>
            </w:r>
          </w:p>
        </w:tc>
        <w:tc>
          <w:tcPr>
            <w:tcW w:type="dxa" w:w="907"/>
          </w:tcPr>
          <w:p>
            <w:pPr>
              <w:spacing w:after="0"/>
              <w:jc w:val="center"/>
            </w:pPr>
            <w:r>
              <w:rPr>
                <w:b w:val="0"/>
                <w:sz w:val="17"/>
              </w:rPr>
              <w:t>51.00</w:t>
            </w:r>
          </w:p>
        </w:tc>
        <w:tc>
          <w:tcPr>
            <w:tcW w:type="dxa" w:w="1020"/>
          </w:tcPr>
          <w:p>
            <w:pPr>
              <w:spacing w:after="0"/>
              <w:jc w:val="center"/>
            </w:pPr>
            <w:r>
              <w:rPr>
                <w:b w:val="0"/>
                <w:sz w:val="17"/>
              </w:rPr>
              <w:t>1.00</w:t>
            </w:r>
          </w:p>
        </w:tc>
      </w:tr>
      <w:tr>
        <w:tc>
          <w:tcPr>
            <w:tcW w:type="dxa" w:w="3515"/>
          </w:tcPr>
          <w:p>
            <w:pPr>
              <w:spacing w:after="0"/>
            </w:pPr>
            <w:r>
              <w:rPr>
                <w:b/>
                <w:sz w:val="17"/>
              </w:rPr>
              <w:t>Success 2 (ours)</w:t>
            </w:r>
          </w:p>
        </w:tc>
        <w:tc>
          <w:tcPr>
            <w:tcW w:type="dxa" w:w="1474"/>
          </w:tcPr>
          <w:p>
            <w:pPr>
              <w:spacing w:after="0"/>
              <w:jc w:val="center"/>
            </w:pPr>
            <w:r>
              <w:rPr>
                <w:b/>
                <w:sz w:val="17"/>
              </w:rPr>
              <w:t>1354.4</w:t>
            </w:r>
          </w:p>
        </w:tc>
        <w:tc>
          <w:tcPr>
            <w:tcW w:type="dxa" w:w="907"/>
          </w:tcPr>
          <w:p>
            <w:pPr>
              <w:spacing w:after="0"/>
              <w:jc w:val="center"/>
            </w:pPr>
            <w:r>
              <w:rPr>
                <w:b/>
                <w:sz w:val="17"/>
              </w:rPr>
              <w:t>71.88</w:t>
            </w:r>
          </w:p>
        </w:tc>
        <w:tc>
          <w:tcPr>
            <w:tcW w:type="dxa" w:w="907"/>
          </w:tcPr>
          <w:p>
            <w:pPr>
              <w:spacing w:after="0"/>
              <w:jc w:val="center"/>
            </w:pPr>
            <w:r>
              <w:rPr>
                <w:b/>
                <w:sz w:val="17"/>
              </w:rPr>
              <w:t>88.75</w:t>
            </w:r>
          </w:p>
        </w:tc>
        <w:tc>
          <w:tcPr>
            <w:tcW w:type="dxa" w:w="907"/>
          </w:tcPr>
          <w:p>
            <w:pPr>
              <w:spacing w:after="0"/>
              <w:jc w:val="center"/>
            </w:pPr>
            <w:r>
              <w:rPr>
                <w:b/>
                <w:sz w:val="17"/>
              </w:rPr>
              <w:t>55.00</w:t>
            </w:r>
          </w:p>
        </w:tc>
        <w:tc>
          <w:tcPr>
            <w:tcW w:type="dxa" w:w="1020"/>
          </w:tcPr>
          <w:p>
            <w:pPr>
              <w:spacing w:after="0"/>
              <w:jc w:val="center"/>
            </w:pPr>
            <w:r>
              <w:rPr>
                <w:b/>
                <w:sz w:val="17"/>
              </w:rPr>
              <w:t>2.10</w:t>
            </w:r>
          </w:p>
        </w:tc>
      </w:tr>
      <w:tr>
        <w:tc>
          <w:tcPr>
            <w:tcW w:type="dxa" w:w="3515"/>
          </w:tcPr>
          <w:p>
            <w:pPr>
              <w:spacing w:after="0"/>
            </w:pPr>
            <w:r>
              <w:rPr>
                <w:b/>
                <w:sz w:val="17"/>
              </w:rPr>
              <w:t>Success 1 (ours)</w:t>
            </w:r>
          </w:p>
        </w:tc>
        <w:tc>
          <w:tcPr>
            <w:tcW w:type="dxa" w:w="1474"/>
          </w:tcPr>
          <w:p>
            <w:pPr>
              <w:spacing w:after="0"/>
              <w:jc w:val="center"/>
            </w:pPr>
            <w:r>
              <w:rPr>
                <w:b/>
                <w:sz w:val="17"/>
              </w:rPr>
              <w:t>2730.2</w:t>
            </w:r>
          </w:p>
        </w:tc>
        <w:tc>
          <w:tcPr>
            <w:tcW w:type="dxa" w:w="907"/>
          </w:tcPr>
          <w:p>
            <w:pPr>
              <w:spacing w:after="0"/>
              <w:jc w:val="center"/>
            </w:pPr>
            <w:r>
              <w:rPr>
                <w:b/>
                <w:sz w:val="17"/>
              </w:rPr>
              <w:t>74.00</w:t>
            </w:r>
          </w:p>
        </w:tc>
        <w:tc>
          <w:tcPr>
            <w:tcW w:type="dxa" w:w="907"/>
          </w:tcPr>
          <w:p>
            <w:pPr>
              <w:spacing w:after="0"/>
              <w:jc w:val="center"/>
            </w:pPr>
            <w:r>
              <w:rPr>
                <w:b/>
                <w:sz w:val="17"/>
              </w:rPr>
              <w:t>88.00</w:t>
            </w:r>
          </w:p>
        </w:tc>
        <w:tc>
          <w:tcPr>
            <w:tcW w:type="dxa" w:w="907"/>
          </w:tcPr>
          <w:p>
            <w:pPr>
              <w:spacing w:after="0"/>
              <w:jc w:val="center"/>
            </w:pPr>
            <w:r>
              <w:rPr>
                <w:b/>
                <w:sz w:val="17"/>
              </w:rPr>
              <w:t>60.00</w:t>
            </w:r>
          </w:p>
        </w:tc>
        <w:tc>
          <w:tcPr>
            <w:tcW w:type="dxa" w:w="1020"/>
          </w:tcPr>
          <w:p>
            <w:pPr>
              <w:spacing w:after="0"/>
              <w:jc w:val="center"/>
            </w:pPr>
            <w:r>
              <w:rPr>
                <w:b/>
                <w:sz w:val="17"/>
              </w:rPr>
              <w:t>2.34</w:t>
            </w:r>
          </w:p>
        </w:tc>
      </w:tr>
    </w:tbl>
    <w:p>
      <w:pPr>
        <w:spacing w:after="120"/>
        <w:jc w:val="center"/>
      </w:pPr>
      <w:r>
        <w:rPr>
          <w:i/>
          <w:sz w:val="18"/>
        </w:rPr>
        <w:t>Table 3. Comparison with baselines (HR-Bench 4K, 800 instances; Single/Cross have 400 instances each).</w:t>
      </w:r>
    </w:p>
    <w:p>
      <w:pPr>
        <w:jc w:val="both"/>
      </w:pPr>
      <w:r>
        <w:rPr>
          <w:i w:val="0"/>
        </w:rPr>
        <w:t>Global down-sampling gains only 3–4 points per doubling of tokens and reaches 70.5% at 4,096 tokens, below the 71% main target. Question-agnostic 2×2 tiling is even worse at the same budget (56.4% / 62.2%): each tile gains little resolution while splitting the scene, which hurts cross-instance questions most. Our method is +5.5 points above global-2048 while using only 1354 tokens, and +3.5 points above global-4096 with 2730 tokens. For reference, native resolution (≈15,800 tokens) reached 85.2% on a partial run of 54 instances.</w:t>
      </w:r>
    </w:p>
    <w:p>
      <w:pPr>
        <w:keepNext/>
        <w:jc w:val="center"/>
      </w:pPr>
      <w:r>
        <w:drawing>
          <wp:inline xmlns:a="http://schemas.openxmlformats.org/drawingml/2006/main" xmlns:pic="http://schemas.openxmlformats.org/drawingml/2006/picture">
            <wp:extent cx="4320000" cy="2632500"/>
            <wp:docPr id="2" name="Picture 2"/>
            <wp:cNvGraphicFramePr>
              <a:graphicFrameLocks noChangeAspect="1"/>
            </wp:cNvGraphicFramePr>
            <a:graphic>
              <a:graphicData uri="http://schemas.openxmlformats.org/drawingml/2006/picture">
                <pic:pic>
                  <pic:nvPicPr>
                    <pic:cNvPr id="0" name="acc_tokens.png"/>
                    <pic:cNvPicPr/>
                  </pic:nvPicPr>
                  <pic:blipFill>
                    <a:blip r:embed="rId10"/>
                    <a:stretch>
                      <a:fillRect/>
                    </a:stretch>
                  </pic:blipFill>
                  <pic:spPr>
                    <a:xfrm>
                      <a:off x="0" y="0"/>
                      <a:ext cx="4320000" cy="2632500"/>
                    </a:xfrm>
                    <a:prstGeom prst="rect"/>
                  </pic:spPr>
                </pic:pic>
              </a:graphicData>
            </a:graphic>
          </wp:inline>
        </w:drawing>
      </w:r>
    </w:p>
    <w:p>
      <w:pPr>
        <w:spacing w:after="120"/>
        <w:jc w:val="center"/>
      </w:pPr>
      <w:r>
        <w:rPr>
          <w:i/>
          <w:sz w:val="18"/>
        </w:rPr>
        <w:t>Figure 2. Accuracy vs. mean visual tokens. Dashed curves vary only τ of the final policies (offline); dotted lines mark budgets and main targets.</w:t>
      </w:r>
    </w:p>
    <w:p>
      <w:pPr>
        <w:pStyle w:val="Heading2"/>
      </w:pPr>
      <w:r>
        <w:t>4.1 Per-call cost and token distribution</w:t>
      </w:r>
    </w:p>
    <w:tbl>
      <w:tblPr>
        <w:tblStyle w:val="TableGrid"/>
        <w:tblW w:type="auto" w:w="0"/>
        <w:jc w:val="center"/>
        <w:tblLayout w:type="fixed"/>
        <w:tblLook w:firstColumn="1" w:firstRow="1" w:lastColumn="0" w:lastRow="0" w:noHBand="0" w:noVBand="1" w:val="04A0"/>
      </w:tblPr>
      <w:tblGrid>
        <w:gridCol w:w="680"/>
        <w:gridCol w:w="2948"/>
        <w:gridCol w:w="1077"/>
        <w:gridCol w:w="1020"/>
        <w:gridCol w:w="1247"/>
        <w:gridCol w:w="907"/>
        <w:gridCol w:w="1077"/>
      </w:tblGrid>
      <w:tr>
        <w:tc>
          <w:tcPr>
            <w:tcW w:type="dxa" w:w="680"/>
          </w:tcPr>
          <w:p>
            <w:pPr>
              <w:spacing w:after="0"/>
            </w:pPr>
            <w:r>
              <w:rPr>
                <w:b/>
                <w:sz w:val="17"/>
              </w:rPr>
              <w:t>Config</w:t>
            </w:r>
          </w:p>
        </w:tc>
        <w:tc>
          <w:tcPr>
            <w:tcW w:type="dxa" w:w="2948"/>
          </w:tcPr>
          <w:p>
            <w:pPr>
              <w:spacing w:after="0"/>
              <w:jc w:val="center"/>
            </w:pPr>
            <w:r>
              <w:rPr>
                <w:b/>
                <w:sz w:val="17"/>
              </w:rPr>
              <w:t>Call</w:t>
            </w:r>
          </w:p>
        </w:tc>
        <w:tc>
          <w:tcPr>
            <w:tcW w:type="dxa" w:w="1077"/>
          </w:tcPr>
          <w:p>
            <w:pPr>
              <w:spacing w:after="0"/>
              <w:jc w:val="center"/>
            </w:pPr>
            <w:r>
              <w:rPr>
                <w:b/>
                <w:sz w:val="17"/>
              </w:rPr>
              <w:t>Count (/800)</w:t>
            </w:r>
          </w:p>
        </w:tc>
        <w:tc>
          <w:tcPr>
            <w:tcW w:type="dxa" w:w="1020"/>
          </w:tcPr>
          <w:p>
            <w:pPr>
              <w:spacing w:after="0"/>
              <w:jc w:val="center"/>
            </w:pPr>
            <w:r>
              <w:rPr>
                <w:b/>
                <w:sz w:val="17"/>
              </w:rPr>
              <w:t>Visual tok</w:t>
            </w:r>
          </w:p>
        </w:tc>
        <w:tc>
          <w:tcPr>
            <w:tcW w:type="dxa" w:w="1247"/>
          </w:tcPr>
          <w:p>
            <w:pPr>
              <w:spacing w:after="0"/>
              <w:jc w:val="center"/>
            </w:pPr>
            <w:r>
              <w:rPr>
                <w:b/>
                <w:sz w:val="17"/>
              </w:rPr>
              <w:t>Text input tok</w:t>
            </w:r>
          </w:p>
        </w:tc>
        <w:tc>
          <w:tcPr>
            <w:tcW w:type="dxa" w:w="907"/>
          </w:tcPr>
          <w:p>
            <w:pPr>
              <w:spacing w:after="0"/>
              <w:jc w:val="center"/>
            </w:pPr>
            <w:r>
              <w:rPr>
                <w:b/>
                <w:sz w:val="17"/>
              </w:rPr>
              <w:t>Gen. tok</w:t>
            </w:r>
          </w:p>
        </w:tc>
        <w:tc>
          <w:tcPr>
            <w:tcW w:type="dxa" w:w="1077"/>
          </w:tcPr>
          <w:p>
            <w:pPr>
              <w:spacing w:after="0"/>
              <w:jc w:val="center"/>
            </w:pPr>
            <w:r>
              <w:rPr>
                <w:b/>
                <w:sz w:val="17"/>
              </w:rPr>
              <w:t>Latency (s)</w:t>
            </w:r>
          </w:p>
        </w:tc>
      </w:tr>
      <w:tr>
        <w:tc>
          <w:tcPr>
            <w:tcW w:type="dxa" w:w="680"/>
          </w:tcPr>
          <w:p>
            <w:pPr>
              <w:spacing w:after="0"/>
            </w:pPr>
            <w:r>
              <w:rPr>
                <w:b w:val="0"/>
                <w:sz w:val="17"/>
              </w:rPr>
              <w:t>S1</w:t>
            </w:r>
          </w:p>
        </w:tc>
        <w:tc>
          <w:tcPr>
            <w:tcW w:type="dxa" w:w="2948"/>
          </w:tcPr>
          <w:p>
            <w:pPr>
              <w:spacing w:after="0"/>
              <w:jc w:val="center"/>
            </w:pPr>
            <w:r>
              <w:rPr>
                <w:b w:val="0"/>
                <w:sz w:val="17"/>
              </w:rPr>
              <w:t>Call 1 joint probe</w:t>
            </w:r>
          </w:p>
        </w:tc>
        <w:tc>
          <w:tcPr>
            <w:tcW w:type="dxa" w:w="1077"/>
          </w:tcPr>
          <w:p>
            <w:pPr>
              <w:spacing w:after="0"/>
              <w:jc w:val="center"/>
            </w:pPr>
            <w:r>
              <w:rPr>
                <w:b w:val="0"/>
                <w:sz w:val="17"/>
              </w:rPr>
              <w:t>800</w:t>
            </w:r>
          </w:p>
        </w:tc>
        <w:tc>
          <w:tcPr>
            <w:tcW w:type="dxa" w:w="1020"/>
          </w:tcPr>
          <w:p>
            <w:pPr>
              <w:spacing w:after="0"/>
              <w:jc w:val="center"/>
            </w:pPr>
            <w:r>
              <w:rPr>
                <w:b w:val="0"/>
                <w:sz w:val="17"/>
              </w:rPr>
              <w:t>1020.2</w:t>
            </w:r>
          </w:p>
        </w:tc>
        <w:tc>
          <w:tcPr>
            <w:tcW w:type="dxa" w:w="1247"/>
          </w:tcPr>
          <w:p>
            <w:pPr>
              <w:spacing w:after="0"/>
              <w:jc w:val="center"/>
            </w:pPr>
            <w:r>
              <w:rPr>
                <w:b w:val="0"/>
                <w:sz w:val="17"/>
              </w:rPr>
              <w:t>106.9</w:t>
            </w:r>
          </w:p>
        </w:tc>
        <w:tc>
          <w:tcPr>
            <w:tcW w:type="dxa" w:w="907"/>
          </w:tcPr>
          <w:p>
            <w:pPr>
              <w:spacing w:after="0"/>
              <w:jc w:val="center"/>
            </w:pPr>
            <w:r>
              <w:rPr>
                <w:b w:val="0"/>
                <w:sz w:val="17"/>
              </w:rPr>
              <w:t>34.6</w:t>
            </w:r>
          </w:p>
        </w:tc>
        <w:tc>
          <w:tcPr>
            <w:tcW w:type="dxa" w:w="1077"/>
          </w:tcPr>
          <w:p>
            <w:pPr>
              <w:spacing w:after="0"/>
              <w:jc w:val="center"/>
            </w:pPr>
            <w:r>
              <w:rPr>
                <w:b w:val="0"/>
                <w:sz w:val="17"/>
              </w:rPr>
              <w:t>1.270</w:t>
            </w:r>
          </w:p>
        </w:tc>
      </w:tr>
      <w:tr>
        <w:tc>
          <w:tcPr>
            <w:tcW w:type="dxa" w:w="680"/>
          </w:tcPr>
          <w:p>
            <w:pPr>
              <w:spacing w:after="0"/>
            </w:pPr>
            <w:r>
              <w:rPr>
                <w:b w:val="0"/>
                <w:sz w:val="17"/>
              </w:rPr>
              <w:t>S1</w:t>
            </w:r>
          </w:p>
        </w:tc>
        <w:tc>
          <w:tcPr>
            <w:tcW w:type="dxa" w:w="2948"/>
          </w:tcPr>
          <w:p>
            <w:pPr>
              <w:spacing w:after="0"/>
              <w:jc w:val="center"/>
            </w:pPr>
            <w:r>
              <w:rPr>
                <w:b w:val="0"/>
                <w:sz w:val="17"/>
              </w:rPr>
              <w:t>Call 2 type classifier (text-only)</w:t>
            </w:r>
          </w:p>
        </w:tc>
        <w:tc>
          <w:tcPr>
            <w:tcW w:type="dxa" w:w="1077"/>
          </w:tcPr>
          <w:p>
            <w:pPr>
              <w:spacing w:after="0"/>
              <w:jc w:val="center"/>
            </w:pPr>
            <w:r>
              <w:rPr>
                <w:b w:val="0"/>
                <w:sz w:val="17"/>
              </w:rPr>
              <w:t>536</w:t>
            </w:r>
          </w:p>
        </w:tc>
        <w:tc>
          <w:tcPr>
            <w:tcW w:type="dxa" w:w="1020"/>
          </w:tcPr>
          <w:p>
            <w:pPr>
              <w:spacing w:after="0"/>
              <w:jc w:val="center"/>
            </w:pPr>
            <w:r>
              <w:rPr>
                <w:b w:val="0"/>
                <w:sz w:val="17"/>
              </w:rPr>
              <w:t>0.0</w:t>
            </w:r>
          </w:p>
        </w:tc>
        <w:tc>
          <w:tcPr>
            <w:tcW w:type="dxa" w:w="1247"/>
          </w:tcPr>
          <w:p>
            <w:pPr>
              <w:spacing w:after="0"/>
              <w:jc w:val="center"/>
            </w:pPr>
            <w:r>
              <w:rPr>
                <w:b w:val="0"/>
                <w:sz w:val="17"/>
              </w:rPr>
              <w:t>130.9</w:t>
            </w:r>
          </w:p>
        </w:tc>
        <w:tc>
          <w:tcPr>
            <w:tcW w:type="dxa" w:w="907"/>
          </w:tcPr>
          <w:p>
            <w:pPr>
              <w:spacing w:after="0"/>
              <w:jc w:val="center"/>
            </w:pPr>
            <w:r>
              <w:rPr>
                <w:b w:val="0"/>
                <w:sz w:val="17"/>
              </w:rPr>
              <w:t>1.0</w:t>
            </w:r>
          </w:p>
        </w:tc>
        <w:tc>
          <w:tcPr>
            <w:tcW w:type="dxa" w:w="1077"/>
          </w:tcPr>
          <w:p>
            <w:pPr>
              <w:spacing w:after="0"/>
              <w:jc w:val="center"/>
            </w:pPr>
            <w:r>
              <w:rPr>
                <w:b w:val="0"/>
                <w:sz w:val="17"/>
              </w:rPr>
              <w:t>0.035</w:t>
            </w:r>
          </w:p>
        </w:tc>
      </w:tr>
      <w:tr>
        <w:tc>
          <w:tcPr>
            <w:tcW w:type="dxa" w:w="680"/>
          </w:tcPr>
          <w:p>
            <w:pPr>
              <w:spacing w:after="0"/>
            </w:pPr>
            <w:r>
              <w:rPr>
                <w:b w:val="0"/>
                <w:sz w:val="17"/>
              </w:rPr>
              <w:t>S1</w:t>
            </w:r>
          </w:p>
        </w:tc>
        <w:tc>
          <w:tcPr>
            <w:tcW w:type="dxa" w:w="2948"/>
          </w:tcPr>
          <w:p>
            <w:pPr>
              <w:spacing w:after="0"/>
              <w:jc w:val="center"/>
            </w:pPr>
            <w:r>
              <w:rPr>
                <w:b w:val="0"/>
                <w:sz w:val="17"/>
              </w:rPr>
              <w:t>Call 3 crop (type A)</w:t>
            </w:r>
          </w:p>
        </w:tc>
        <w:tc>
          <w:tcPr>
            <w:tcW w:type="dxa" w:w="1077"/>
          </w:tcPr>
          <w:p>
            <w:pPr>
              <w:spacing w:after="0"/>
              <w:jc w:val="center"/>
            </w:pPr>
            <w:r>
              <w:rPr>
                <w:b w:val="0"/>
                <w:sz w:val="17"/>
              </w:rPr>
              <w:t>262</w:t>
            </w:r>
          </w:p>
        </w:tc>
        <w:tc>
          <w:tcPr>
            <w:tcW w:type="dxa" w:w="1020"/>
          </w:tcPr>
          <w:p>
            <w:pPr>
              <w:spacing w:after="0"/>
              <w:jc w:val="center"/>
            </w:pPr>
            <w:r>
              <w:rPr>
                <w:b w:val="0"/>
                <w:sz w:val="17"/>
              </w:rPr>
              <w:t>1016.4</w:t>
            </w:r>
          </w:p>
        </w:tc>
        <w:tc>
          <w:tcPr>
            <w:tcW w:type="dxa" w:w="1247"/>
          </w:tcPr>
          <w:p>
            <w:pPr>
              <w:spacing w:after="0"/>
              <w:jc w:val="center"/>
            </w:pPr>
            <w:r>
              <w:rPr>
                <w:b w:val="0"/>
                <w:sz w:val="17"/>
              </w:rPr>
              <w:t>73.1</w:t>
            </w:r>
          </w:p>
        </w:tc>
        <w:tc>
          <w:tcPr>
            <w:tcW w:type="dxa" w:w="907"/>
          </w:tcPr>
          <w:p>
            <w:pPr>
              <w:spacing w:after="0"/>
              <w:jc w:val="center"/>
            </w:pPr>
            <w:r>
              <w:rPr>
                <w:b w:val="0"/>
                <w:sz w:val="17"/>
              </w:rPr>
              <w:t>1.0</w:t>
            </w:r>
          </w:p>
        </w:tc>
        <w:tc>
          <w:tcPr>
            <w:tcW w:type="dxa" w:w="1077"/>
          </w:tcPr>
          <w:p>
            <w:pPr>
              <w:spacing w:after="0"/>
              <w:jc w:val="center"/>
            </w:pPr>
            <w:r>
              <w:rPr>
                <w:b w:val="0"/>
                <w:sz w:val="17"/>
              </w:rPr>
              <w:t>0.201</w:t>
            </w:r>
          </w:p>
        </w:tc>
      </w:tr>
      <w:tr>
        <w:tc>
          <w:tcPr>
            <w:tcW w:type="dxa" w:w="680"/>
          </w:tcPr>
          <w:p>
            <w:pPr>
              <w:spacing w:after="0"/>
            </w:pPr>
            <w:r>
              <w:rPr>
                <w:b w:val="0"/>
                <w:sz w:val="17"/>
              </w:rPr>
              <w:t>S1</w:t>
            </w:r>
          </w:p>
        </w:tc>
        <w:tc>
          <w:tcPr>
            <w:tcW w:type="dxa" w:w="2948"/>
          </w:tcPr>
          <w:p>
            <w:pPr>
              <w:spacing w:after="0"/>
              <w:jc w:val="center"/>
            </w:pPr>
            <w:r>
              <w:rPr>
                <w:b w:val="0"/>
                <w:sz w:val="17"/>
              </w:rPr>
              <w:t>Call 3 global 4096 (type B)</w:t>
            </w:r>
          </w:p>
        </w:tc>
        <w:tc>
          <w:tcPr>
            <w:tcW w:type="dxa" w:w="1077"/>
          </w:tcPr>
          <w:p>
            <w:pPr>
              <w:spacing w:after="0"/>
              <w:jc w:val="center"/>
            </w:pPr>
            <w:r>
              <w:rPr>
                <w:b w:val="0"/>
                <w:sz w:val="17"/>
              </w:rPr>
              <w:t>273</w:t>
            </w:r>
          </w:p>
        </w:tc>
        <w:tc>
          <w:tcPr>
            <w:tcW w:type="dxa" w:w="1020"/>
          </w:tcPr>
          <w:p>
            <w:pPr>
              <w:spacing w:after="0"/>
              <w:jc w:val="center"/>
            </w:pPr>
            <w:r>
              <w:rPr>
                <w:b w:val="0"/>
                <w:sz w:val="17"/>
              </w:rPr>
              <w:t>4035.5</w:t>
            </w:r>
          </w:p>
        </w:tc>
        <w:tc>
          <w:tcPr>
            <w:tcW w:type="dxa" w:w="1247"/>
          </w:tcPr>
          <w:p>
            <w:pPr>
              <w:spacing w:after="0"/>
              <w:jc w:val="center"/>
            </w:pPr>
            <w:r>
              <w:rPr>
                <w:b w:val="0"/>
                <w:sz w:val="17"/>
              </w:rPr>
              <w:t>65.5</w:t>
            </w:r>
          </w:p>
        </w:tc>
        <w:tc>
          <w:tcPr>
            <w:tcW w:type="dxa" w:w="907"/>
          </w:tcPr>
          <w:p>
            <w:pPr>
              <w:spacing w:after="0"/>
              <w:jc w:val="center"/>
            </w:pPr>
            <w:r>
              <w:rPr>
                <w:b w:val="0"/>
                <w:sz w:val="17"/>
              </w:rPr>
              <w:t>1.0</w:t>
            </w:r>
          </w:p>
        </w:tc>
        <w:tc>
          <w:tcPr>
            <w:tcW w:type="dxa" w:w="1077"/>
          </w:tcPr>
          <w:p>
            <w:pPr>
              <w:spacing w:after="0"/>
              <w:jc w:val="center"/>
            </w:pPr>
            <w:r>
              <w:rPr>
                <w:b w:val="0"/>
                <w:sz w:val="17"/>
              </w:rPr>
              <w:t>1.059</w:t>
            </w:r>
          </w:p>
        </w:tc>
      </w:tr>
      <w:tr>
        <w:tc>
          <w:tcPr>
            <w:tcW w:type="dxa" w:w="680"/>
          </w:tcPr>
          <w:p>
            <w:pPr>
              <w:spacing w:after="0"/>
            </w:pPr>
            <w:r>
              <w:rPr>
                <w:b w:val="0"/>
                <w:sz w:val="17"/>
              </w:rPr>
              <w:t>S2</w:t>
            </w:r>
          </w:p>
        </w:tc>
        <w:tc>
          <w:tcPr>
            <w:tcW w:type="dxa" w:w="2948"/>
          </w:tcPr>
          <w:p>
            <w:pPr>
              <w:spacing w:after="0"/>
              <w:jc w:val="center"/>
            </w:pPr>
            <w:r>
              <w:rPr>
                <w:b w:val="0"/>
                <w:sz w:val="17"/>
              </w:rPr>
              <w:t>Call 1 joint probe</w:t>
            </w:r>
          </w:p>
        </w:tc>
        <w:tc>
          <w:tcPr>
            <w:tcW w:type="dxa" w:w="1077"/>
          </w:tcPr>
          <w:p>
            <w:pPr>
              <w:spacing w:after="0"/>
              <w:jc w:val="center"/>
            </w:pPr>
            <w:r>
              <w:rPr>
                <w:b w:val="0"/>
                <w:sz w:val="17"/>
              </w:rPr>
              <w:t>800</w:t>
            </w:r>
          </w:p>
        </w:tc>
        <w:tc>
          <w:tcPr>
            <w:tcW w:type="dxa" w:w="1020"/>
          </w:tcPr>
          <w:p>
            <w:pPr>
              <w:spacing w:after="0"/>
              <w:jc w:val="center"/>
            </w:pPr>
            <w:r>
              <w:rPr>
                <w:b w:val="0"/>
                <w:sz w:val="17"/>
              </w:rPr>
              <w:t>1020.2</w:t>
            </w:r>
          </w:p>
        </w:tc>
        <w:tc>
          <w:tcPr>
            <w:tcW w:type="dxa" w:w="1247"/>
          </w:tcPr>
          <w:p>
            <w:pPr>
              <w:spacing w:after="0"/>
              <w:jc w:val="center"/>
            </w:pPr>
            <w:r>
              <w:rPr>
                <w:b w:val="0"/>
                <w:sz w:val="17"/>
              </w:rPr>
              <w:t>106.9</w:t>
            </w:r>
          </w:p>
        </w:tc>
        <w:tc>
          <w:tcPr>
            <w:tcW w:type="dxa" w:w="907"/>
          </w:tcPr>
          <w:p>
            <w:pPr>
              <w:spacing w:after="0"/>
              <w:jc w:val="center"/>
            </w:pPr>
            <w:r>
              <w:rPr>
                <w:b w:val="0"/>
                <w:sz w:val="17"/>
              </w:rPr>
              <w:t>37.0</w:t>
            </w:r>
          </w:p>
        </w:tc>
        <w:tc>
          <w:tcPr>
            <w:tcW w:type="dxa" w:w="1077"/>
          </w:tcPr>
          <w:p>
            <w:pPr>
              <w:spacing w:after="0"/>
              <w:jc w:val="center"/>
            </w:pPr>
            <w:r>
              <w:rPr>
                <w:b w:val="0"/>
                <w:sz w:val="17"/>
              </w:rPr>
              <w:t>1.371</w:t>
            </w:r>
          </w:p>
        </w:tc>
      </w:tr>
      <w:tr>
        <w:tc>
          <w:tcPr>
            <w:tcW w:type="dxa" w:w="680"/>
          </w:tcPr>
          <w:p>
            <w:pPr>
              <w:spacing w:after="0"/>
            </w:pPr>
            <w:r>
              <w:rPr>
                <w:b w:val="0"/>
                <w:sz w:val="17"/>
              </w:rPr>
              <w:t>S2</w:t>
            </w:r>
          </w:p>
        </w:tc>
        <w:tc>
          <w:tcPr>
            <w:tcW w:type="dxa" w:w="2948"/>
          </w:tcPr>
          <w:p>
            <w:pPr>
              <w:spacing w:after="0"/>
              <w:jc w:val="center"/>
            </w:pPr>
            <w:r>
              <w:rPr>
                <w:b w:val="0"/>
                <w:sz w:val="17"/>
              </w:rPr>
              <w:t>Call 2 type classifier (text-only)</w:t>
            </w:r>
          </w:p>
        </w:tc>
        <w:tc>
          <w:tcPr>
            <w:tcW w:type="dxa" w:w="1077"/>
          </w:tcPr>
          <w:p>
            <w:pPr>
              <w:spacing w:after="0"/>
              <w:jc w:val="center"/>
            </w:pPr>
            <w:r>
              <w:rPr>
                <w:b w:val="0"/>
                <w:sz w:val="17"/>
              </w:rPr>
              <w:t>584</w:t>
            </w:r>
          </w:p>
        </w:tc>
        <w:tc>
          <w:tcPr>
            <w:tcW w:type="dxa" w:w="1020"/>
          </w:tcPr>
          <w:p>
            <w:pPr>
              <w:spacing w:after="0"/>
              <w:jc w:val="center"/>
            </w:pPr>
            <w:r>
              <w:rPr>
                <w:b w:val="0"/>
                <w:sz w:val="17"/>
              </w:rPr>
              <w:t>0.0</w:t>
            </w:r>
          </w:p>
        </w:tc>
        <w:tc>
          <w:tcPr>
            <w:tcW w:type="dxa" w:w="1247"/>
          </w:tcPr>
          <w:p>
            <w:pPr>
              <w:spacing w:after="0"/>
              <w:jc w:val="center"/>
            </w:pPr>
            <w:r>
              <w:rPr>
                <w:b w:val="0"/>
                <w:sz w:val="17"/>
              </w:rPr>
              <w:t>130.6</w:t>
            </w:r>
          </w:p>
        </w:tc>
        <w:tc>
          <w:tcPr>
            <w:tcW w:type="dxa" w:w="907"/>
          </w:tcPr>
          <w:p>
            <w:pPr>
              <w:spacing w:after="0"/>
              <w:jc w:val="center"/>
            </w:pPr>
            <w:r>
              <w:rPr>
                <w:b w:val="0"/>
                <w:sz w:val="17"/>
              </w:rPr>
              <w:t>1.0</w:t>
            </w:r>
          </w:p>
        </w:tc>
        <w:tc>
          <w:tcPr>
            <w:tcW w:type="dxa" w:w="1077"/>
          </w:tcPr>
          <w:p>
            <w:pPr>
              <w:spacing w:after="0"/>
              <w:jc w:val="center"/>
            </w:pPr>
            <w:r>
              <w:rPr>
                <w:b w:val="0"/>
                <w:sz w:val="17"/>
              </w:rPr>
              <w:t>0.035</w:t>
            </w:r>
          </w:p>
        </w:tc>
      </w:tr>
      <w:tr>
        <w:tc>
          <w:tcPr>
            <w:tcW w:type="dxa" w:w="680"/>
          </w:tcPr>
          <w:p>
            <w:pPr>
              <w:spacing w:after="0"/>
            </w:pPr>
            <w:r>
              <w:rPr>
                <w:b w:val="0"/>
                <w:sz w:val="17"/>
              </w:rPr>
              <w:t>S2</w:t>
            </w:r>
          </w:p>
        </w:tc>
        <w:tc>
          <w:tcPr>
            <w:tcW w:type="dxa" w:w="2948"/>
          </w:tcPr>
          <w:p>
            <w:pPr>
              <w:spacing w:after="0"/>
              <w:jc w:val="center"/>
            </w:pPr>
            <w:r>
              <w:rPr>
                <w:b w:val="0"/>
                <w:sz w:val="17"/>
              </w:rPr>
              <w:t>Call 3 crop (type A)</w:t>
            </w:r>
          </w:p>
        </w:tc>
        <w:tc>
          <w:tcPr>
            <w:tcW w:type="dxa" w:w="1077"/>
          </w:tcPr>
          <w:p>
            <w:pPr>
              <w:spacing w:after="0"/>
              <w:jc w:val="center"/>
            </w:pPr>
            <w:r>
              <w:rPr>
                <w:b w:val="0"/>
                <w:sz w:val="17"/>
              </w:rPr>
              <w:t>296</w:t>
            </w:r>
          </w:p>
        </w:tc>
        <w:tc>
          <w:tcPr>
            <w:tcW w:type="dxa" w:w="1020"/>
          </w:tcPr>
          <w:p>
            <w:pPr>
              <w:spacing w:after="0"/>
              <w:jc w:val="center"/>
            </w:pPr>
            <w:r>
              <w:rPr>
                <w:b w:val="0"/>
                <w:sz w:val="17"/>
              </w:rPr>
              <w:t>903.1</w:t>
            </w:r>
          </w:p>
        </w:tc>
        <w:tc>
          <w:tcPr>
            <w:tcW w:type="dxa" w:w="1247"/>
          </w:tcPr>
          <w:p>
            <w:pPr>
              <w:spacing w:after="0"/>
              <w:jc w:val="center"/>
            </w:pPr>
            <w:r>
              <w:rPr>
                <w:b w:val="0"/>
                <w:sz w:val="17"/>
              </w:rPr>
              <w:t>72.7</w:t>
            </w:r>
          </w:p>
        </w:tc>
        <w:tc>
          <w:tcPr>
            <w:tcW w:type="dxa" w:w="907"/>
          </w:tcPr>
          <w:p>
            <w:pPr>
              <w:spacing w:after="0"/>
              <w:jc w:val="center"/>
            </w:pPr>
            <w:r>
              <w:rPr>
                <w:b w:val="0"/>
                <w:sz w:val="17"/>
              </w:rPr>
              <w:t>1.0</w:t>
            </w:r>
          </w:p>
        </w:tc>
        <w:tc>
          <w:tcPr>
            <w:tcW w:type="dxa" w:w="1077"/>
          </w:tcPr>
          <w:p>
            <w:pPr>
              <w:spacing w:after="0"/>
              <w:jc w:val="center"/>
            </w:pPr>
            <w:r>
              <w:rPr>
                <w:b w:val="0"/>
                <w:sz w:val="17"/>
              </w:rPr>
              <w:t>0.182</w:t>
            </w:r>
          </w:p>
        </w:tc>
      </w:tr>
    </w:tbl>
    <w:p>
      <w:pPr>
        <w:spacing w:after="120"/>
        <w:jc w:val="center"/>
      </w:pPr>
      <w:r>
        <w:rPr>
          <w:i/>
          <w:sz w:val="18"/>
        </w:rPr>
        <w:t>Table 4. Mean cost per call type (text input tokens include the vision start/end special tokens).</w:t>
      </w:r>
    </w:p>
    <w:p>
      <w:pPr>
        <w:jc w:val="both"/>
      </w:pPr>
      <w:r>
        <w:rPr>
          <w:i w:val="0"/>
        </w:rPr>
        <w:t>An instance makes 2.34 (S1) / 2.10 (S2) Qwen calls and generates 35.9 / 38.1 tokens on average; most generated tokens are the bbox JSON of uncertain instances. End-to-end latency is 1.96 s mean / 4.62 s p95 (S1) and 1.64 s / 3.46 s (S2). Per-instance cost concentrates at 1,024 (early stop), ≈2,048 (crop) and ≈5,100 tokens (global re-observation), with maxima of 5120 (S1) and 2048 (S2) (Figure 3): tokens saved on easy instances are spent on hard ones.</w:t>
      </w:r>
    </w:p>
    <w:p>
      <w:pPr>
        <w:keepNext/>
        <w:jc w:val="center"/>
      </w:pPr>
      <w:r>
        <w:drawing>
          <wp:inline xmlns:a="http://schemas.openxmlformats.org/drawingml/2006/main" xmlns:pic="http://schemas.openxmlformats.org/drawingml/2006/picture">
            <wp:extent cx="4680000" cy="1560000"/>
            <wp:docPr id="3" name="Picture 3"/>
            <wp:cNvGraphicFramePr>
              <a:graphicFrameLocks noChangeAspect="1"/>
            </wp:cNvGraphicFramePr>
            <a:graphic>
              <a:graphicData uri="http://schemas.openxmlformats.org/drawingml/2006/picture">
                <pic:pic>
                  <pic:nvPicPr>
                    <pic:cNvPr id="0" name="token_hist.png"/>
                    <pic:cNvPicPr/>
                  </pic:nvPicPr>
                  <pic:blipFill>
                    <a:blip r:embed="rId11"/>
                    <a:stretch>
                      <a:fillRect/>
                    </a:stretch>
                  </pic:blipFill>
                  <pic:spPr>
                    <a:xfrm>
                      <a:off x="0" y="0"/>
                      <a:ext cx="4680000" cy="1560000"/>
                    </a:xfrm>
                    <a:prstGeom prst="rect"/>
                  </pic:spPr>
                </pic:pic>
              </a:graphicData>
            </a:graphic>
          </wp:inline>
        </w:drawing>
      </w:r>
    </w:p>
    <w:p>
      <w:pPr>
        <w:spacing w:after="120"/>
        <w:jc w:val="center"/>
      </w:pPr>
      <w:r>
        <w:rPr>
          <w:i/>
          <w:sz w:val="18"/>
        </w:rPr>
        <w:t>Figure 3. Distribution of cumulative visual tokens per instance (black: mean, red dashed: budget).</w:t>
      </w:r>
    </w:p>
    <w:p>
      <w:pPr>
        <w:pStyle w:val="Heading1"/>
      </w:pPr>
      <w:r>
        <w:t>5. Key design decisions and ablation</w:t>
      </w:r>
    </w:p>
    <w:p>
      <w:pPr>
        <w:pStyle w:val="ListBullet"/>
        <w:spacing w:after="20"/>
      </w:pPr>
      <w:r>
        <w:rPr>
          <w:b/>
        </w:rPr>
        <w:t>① Confidence is well calibrated.</w:t>
      </w:r>
      <w:r>
        <w:t xml:space="preserve"> On the 1,024-token probe, the 216 instances with max p1 ≥ 0.999 are 98.6% correct, whereas the remaining 584 are only 46.7% correct, so confidence is a reliable signal for deciding when to look closer.</w:t>
      </w:r>
    </w:p>
    <w:p>
      <w:pPr>
        <w:pStyle w:val="ListBullet"/>
        <w:spacing w:after="20"/>
      </w:pPr>
      <w:r>
        <w:rPr>
          <w:b/>
        </w:rPr>
        <w:t>② The joint probe makes localization free.</w:t>
      </w:r>
      <w:r>
        <w:t xml:space="preserve"> Our first cascade used a separate grounding call after the probe, spending 1,024 tokens only to find the region. Asking for the bbox right after the answer letter removes that call: under the same policy it saves 246 tokens and changes accuracy by +1.88 points.</w:t>
      </w:r>
    </w:p>
    <w:p>
      <w:pPr>
        <w:pStyle w:val="ListBullet"/>
        <w:spacing w:after="20"/>
      </w:pPr>
      <w:r>
        <w:rPr>
          <w:b/>
        </w:rPr>
        <w:t>③ Zooming hurts cross-instance questions.</w:t>
      </w:r>
      <w:r>
        <w:t xml:space="preserve"> Zooming fixed 86 and broke only 7 single-instance answers, but on cross-instance questions it fixed 54 while breaking 65. These questions (relative position, counting, map reasoning) need the whole scene, which motivated the image-free type router.</w:t>
      </w:r>
    </w:p>
    <w:p>
      <w:pPr>
        <w:pStyle w:val="ListBullet"/>
        <w:spacing w:after="20"/>
      </w:pPr>
      <w:r>
        <w:rPr>
          <w:b/>
        </w:rPr>
        <w:t>④ Type B benefits from a higher-resolution global view.</w:t>
      </w:r>
      <w:r>
        <w:t xml:space="preserve"> With the 4K budget, type-B instances are re-observed globally at 4,096 tokens, raising cross accuracy from 55.5% to 60.0%.</w:t>
      </w:r>
    </w:p>
    <w:tbl>
      <w:tblPr>
        <w:tblStyle w:val="TableGrid"/>
        <w:tblW w:type="auto" w:w="0"/>
        <w:jc w:val="center"/>
        <w:tblLayout w:type="fixed"/>
        <w:tblLook w:firstColumn="1" w:firstRow="1" w:lastColumn="0" w:lastRow="0" w:noHBand="0" w:noVBand="1" w:val="04A0"/>
      </w:tblPr>
      <w:tblGrid>
        <w:gridCol w:w="4082"/>
        <w:gridCol w:w="1247"/>
        <w:gridCol w:w="1020"/>
        <w:gridCol w:w="1020"/>
        <w:gridCol w:w="1020"/>
      </w:tblGrid>
      <w:tr>
        <w:tc>
          <w:tcPr>
            <w:tcW w:type="dxa" w:w="4082"/>
          </w:tcPr>
          <w:p>
            <w:pPr>
              <w:spacing w:after="0"/>
            </w:pPr>
            <w:r>
              <w:rPr>
                <w:b/>
                <w:sz w:val="17"/>
              </w:rPr>
              <w:t>Configuration (one factor changed)</w:t>
            </w:r>
          </w:p>
        </w:tc>
        <w:tc>
          <w:tcPr>
            <w:tcW w:type="dxa" w:w="1247"/>
          </w:tcPr>
          <w:p>
            <w:pPr>
              <w:spacing w:after="0"/>
              <w:jc w:val="center"/>
            </w:pPr>
            <w:r>
              <w:rPr>
                <w:b/>
                <w:sz w:val="17"/>
              </w:rPr>
              <w:t>Mean tok</w:t>
            </w:r>
          </w:p>
        </w:tc>
        <w:tc>
          <w:tcPr>
            <w:tcW w:type="dxa" w:w="1020"/>
          </w:tcPr>
          <w:p>
            <w:pPr>
              <w:spacing w:after="0"/>
              <w:jc w:val="center"/>
            </w:pPr>
            <w:r>
              <w:rPr>
                <w:b/>
                <w:sz w:val="17"/>
              </w:rPr>
              <w:t>Acc</w:t>
            </w:r>
          </w:p>
        </w:tc>
        <w:tc>
          <w:tcPr>
            <w:tcW w:type="dxa" w:w="1020"/>
          </w:tcPr>
          <w:p>
            <w:pPr>
              <w:spacing w:after="0"/>
              <w:jc w:val="center"/>
            </w:pPr>
            <w:r>
              <w:rPr>
                <w:b/>
                <w:sz w:val="17"/>
              </w:rPr>
              <w:t>Single</w:t>
            </w:r>
          </w:p>
        </w:tc>
        <w:tc>
          <w:tcPr>
            <w:tcW w:type="dxa" w:w="1020"/>
          </w:tcPr>
          <w:p>
            <w:pPr>
              <w:spacing w:after="0"/>
              <w:jc w:val="center"/>
            </w:pPr>
            <w:r>
              <w:rPr>
                <w:b/>
                <w:sz w:val="17"/>
              </w:rPr>
              <w:t>Cross</w:t>
            </w:r>
          </w:p>
        </w:tc>
      </w:tr>
      <w:tr>
        <w:tc>
          <w:tcPr>
            <w:tcW w:type="dxa" w:w="4082"/>
          </w:tcPr>
          <w:p>
            <w:pPr>
              <w:spacing w:after="0"/>
            </w:pPr>
            <w:r>
              <w:rPr>
                <w:b/>
                <w:sz w:val="17"/>
              </w:rPr>
              <w:t>Success 2 (full)</w:t>
            </w:r>
          </w:p>
        </w:tc>
        <w:tc>
          <w:tcPr>
            <w:tcW w:type="dxa" w:w="1247"/>
          </w:tcPr>
          <w:p>
            <w:pPr>
              <w:spacing w:after="0"/>
              <w:jc w:val="center"/>
            </w:pPr>
            <w:r>
              <w:rPr>
                <w:b/>
                <w:sz w:val="17"/>
              </w:rPr>
              <w:t>1356.7</w:t>
            </w:r>
          </w:p>
        </w:tc>
        <w:tc>
          <w:tcPr>
            <w:tcW w:type="dxa" w:w="1020"/>
          </w:tcPr>
          <w:p>
            <w:pPr>
              <w:spacing w:after="0"/>
              <w:jc w:val="center"/>
            </w:pPr>
            <w:r>
              <w:rPr>
                <w:b/>
                <w:sz w:val="17"/>
              </w:rPr>
              <w:t>72.00</w:t>
            </w:r>
          </w:p>
        </w:tc>
        <w:tc>
          <w:tcPr>
            <w:tcW w:type="dxa" w:w="1020"/>
          </w:tcPr>
          <w:p>
            <w:pPr>
              <w:spacing w:after="0"/>
              <w:jc w:val="center"/>
            </w:pPr>
            <w:r>
              <w:rPr>
                <w:b/>
                <w:sz w:val="17"/>
              </w:rPr>
              <w:t>89.00</w:t>
            </w:r>
          </w:p>
        </w:tc>
        <w:tc>
          <w:tcPr>
            <w:tcW w:type="dxa" w:w="1020"/>
          </w:tcPr>
          <w:p>
            <w:pPr>
              <w:spacing w:after="0"/>
              <w:jc w:val="center"/>
            </w:pPr>
            <w:r>
              <w:rPr>
                <w:b/>
                <w:sz w:val="17"/>
              </w:rPr>
              <w:t>55.00</w:t>
            </w:r>
          </w:p>
        </w:tc>
      </w:tr>
      <w:tr>
        <w:tc>
          <w:tcPr>
            <w:tcW w:type="dxa" w:w="4082"/>
          </w:tcPr>
          <w:p>
            <w:pPr>
              <w:spacing w:after="0"/>
            </w:pPr>
            <w:r>
              <w:rPr>
                <w:b w:val="0"/>
                <w:sz w:val="17"/>
              </w:rPr>
              <w:t xml:space="preserve">  − early stopping (τ = 1)</w:t>
            </w:r>
          </w:p>
        </w:tc>
        <w:tc>
          <w:tcPr>
            <w:tcW w:type="dxa" w:w="1247"/>
          </w:tcPr>
          <w:p>
            <w:pPr>
              <w:spacing w:after="0"/>
              <w:jc w:val="center"/>
            </w:pPr>
            <w:r>
              <w:rPr>
                <w:b w:val="0"/>
                <w:sz w:val="17"/>
              </w:rPr>
              <w:t>1545.1</w:t>
            </w:r>
          </w:p>
        </w:tc>
        <w:tc>
          <w:tcPr>
            <w:tcW w:type="dxa" w:w="1020"/>
          </w:tcPr>
          <w:p>
            <w:pPr>
              <w:spacing w:after="0"/>
              <w:jc w:val="center"/>
            </w:pPr>
            <w:r>
              <w:rPr>
                <w:b w:val="0"/>
                <w:sz w:val="17"/>
              </w:rPr>
              <w:t>72.25</w:t>
            </w:r>
          </w:p>
        </w:tc>
        <w:tc>
          <w:tcPr>
            <w:tcW w:type="dxa" w:w="1020"/>
          </w:tcPr>
          <w:p>
            <w:pPr>
              <w:spacing w:after="0"/>
              <w:jc w:val="center"/>
            </w:pPr>
            <w:r>
              <w:rPr>
                <w:b w:val="0"/>
                <w:sz w:val="17"/>
              </w:rPr>
              <w:t>89.50</w:t>
            </w:r>
          </w:p>
        </w:tc>
        <w:tc>
          <w:tcPr>
            <w:tcW w:type="dxa" w:w="1020"/>
          </w:tcPr>
          <w:p>
            <w:pPr>
              <w:spacing w:after="0"/>
              <w:jc w:val="center"/>
            </w:pPr>
            <w:r>
              <w:rPr>
                <w:b w:val="0"/>
                <w:sz w:val="17"/>
              </w:rPr>
              <w:t>55.00</w:t>
            </w:r>
          </w:p>
        </w:tc>
      </w:tr>
      <w:tr>
        <w:tc>
          <w:tcPr>
            <w:tcW w:type="dxa" w:w="4082"/>
          </w:tcPr>
          <w:p>
            <w:pPr>
              <w:spacing w:after="0"/>
            </w:pPr>
            <w:r>
              <w:rPr>
                <w:b w:val="0"/>
                <w:sz w:val="17"/>
              </w:rPr>
              <w:t xml:space="preserve">  − type routing (crop for all)</w:t>
            </w:r>
          </w:p>
        </w:tc>
        <w:tc>
          <w:tcPr>
            <w:tcW w:type="dxa" w:w="1247"/>
          </w:tcPr>
          <w:p>
            <w:pPr>
              <w:spacing w:after="0"/>
              <w:jc w:val="center"/>
            </w:pPr>
            <w:r>
              <w:rPr>
                <w:b w:val="0"/>
                <w:sz w:val="17"/>
              </w:rPr>
              <w:t>1610.6</w:t>
            </w:r>
          </w:p>
        </w:tc>
        <w:tc>
          <w:tcPr>
            <w:tcW w:type="dxa" w:w="1020"/>
          </w:tcPr>
          <w:p>
            <w:pPr>
              <w:spacing w:after="0"/>
              <w:jc w:val="center"/>
            </w:pPr>
            <w:r>
              <w:rPr>
                <w:b w:val="0"/>
                <w:sz w:val="17"/>
              </w:rPr>
              <w:t>71.88</w:t>
            </w:r>
          </w:p>
        </w:tc>
        <w:tc>
          <w:tcPr>
            <w:tcW w:type="dxa" w:w="1020"/>
          </w:tcPr>
          <w:p>
            <w:pPr>
              <w:spacing w:after="0"/>
              <w:jc w:val="center"/>
            </w:pPr>
            <w:r>
              <w:rPr>
                <w:b w:val="0"/>
                <w:sz w:val="17"/>
              </w:rPr>
              <w:t>89.00</w:t>
            </w:r>
          </w:p>
        </w:tc>
        <w:tc>
          <w:tcPr>
            <w:tcW w:type="dxa" w:w="1020"/>
          </w:tcPr>
          <w:p>
            <w:pPr>
              <w:spacing w:after="0"/>
              <w:jc w:val="center"/>
            </w:pPr>
            <w:r>
              <w:rPr>
                <w:b w:val="0"/>
                <w:sz w:val="17"/>
              </w:rPr>
              <w:t>54.75</w:t>
            </w:r>
          </w:p>
        </w:tc>
      </w:tr>
      <w:tr>
        <w:tc>
          <w:tcPr>
            <w:tcW w:type="dxa" w:w="4082"/>
          </w:tcPr>
          <w:p>
            <w:pPr>
              <w:spacing w:after="0"/>
            </w:pPr>
            <w:r>
              <w:rPr>
                <w:b w:val="0"/>
                <w:sz w:val="17"/>
              </w:rPr>
              <w:t xml:space="preserve">  − escalation (joint probe only)</w:t>
            </w:r>
          </w:p>
        </w:tc>
        <w:tc>
          <w:tcPr>
            <w:tcW w:type="dxa" w:w="1247"/>
          </w:tcPr>
          <w:p>
            <w:pPr>
              <w:spacing w:after="0"/>
              <w:jc w:val="center"/>
            </w:pPr>
            <w:r>
              <w:rPr>
                <w:b w:val="0"/>
                <w:sz w:val="17"/>
              </w:rPr>
              <w:t>1020.2</w:t>
            </w:r>
          </w:p>
        </w:tc>
        <w:tc>
          <w:tcPr>
            <w:tcW w:type="dxa" w:w="1020"/>
          </w:tcPr>
          <w:p>
            <w:pPr>
              <w:spacing w:after="0"/>
              <w:jc w:val="center"/>
            </w:pPr>
            <w:r>
              <w:rPr>
                <w:b w:val="0"/>
                <w:sz w:val="17"/>
              </w:rPr>
              <w:t>60.75</w:t>
            </w:r>
          </w:p>
        </w:tc>
        <w:tc>
          <w:tcPr>
            <w:tcW w:type="dxa" w:w="1020"/>
          </w:tcPr>
          <w:p>
            <w:pPr>
              <w:spacing w:after="0"/>
              <w:jc w:val="center"/>
            </w:pPr>
            <w:r>
              <w:rPr>
                <w:b w:val="0"/>
                <w:sz w:val="17"/>
              </w:rPr>
              <w:t>69.25</w:t>
            </w:r>
          </w:p>
        </w:tc>
        <w:tc>
          <w:tcPr>
            <w:tcW w:type="dxa" w:w="1020"/>
          </w:tcPr>
          <w:p>
            <w:pPr>
              <w:spacing w:after="0"/>
              <w:jc w:val="center"/>
            </w:pPr>
            <w:r>
              <w:rPr>
                <w:b w:val="0"/>
                <w:sz w:val="17"/>
              </w:rPr>
              <w:t>52.25</w:t>
            </w:r>
          </w:p>
        </w:tc>
      </w:tr>
      <w:tr>
        <w:tc>
          <w:tcPr>
            <w:tcW w:type="dxa" w:w="4082"/>
          </w:tcPr>
          <w:p>
            <w:pPr>
              <w:spacing w:after="0"/>
            </w:pPr>
            <w:r>
              <w:rPr>
                <w:b w:val="0"/>
                <w:sz w:val="17"/>
              </w:rPr>
              <w:t xml:space="preserve">  separate grounding call instead of joint</w:t>
            </w:r>
          </w:p>
        </w:tc>
        <w:tc>
          <w:tcPr>
            <w:tcW w:type="dxa" w:w="1247"/>
          </w:tcPr>
          <w:p>
            <w:pPr>
              <w:spacing w:after="0"/>
              <w:jc w:val="center"/>
            </w:pPr>
            <w:r>
              <w:rPr>
                <w:b w:val="0"/>
                <w:sz w:val="17"/>
              </w:rPr>
              <w:t>1602.8</w:t>
            </w:r>
          </w:p>
        </w:tc>
        <w:tc>
          <w:tcPr>
            <w:tcW w:type="dxa" w:w="1020"/>
          </w:tcPr>
          <w:p>
            <w:pPr>
              <w:spacing w:after="0"/>
              <w:jc w:val="center"/>
            </w:pPr>
            <w:r>
              <w:rPr>
                <w:b w:val="0"/>
                <w:sz w:val="17"/>
              </w:rPr>
              <w:t>70.12</w:t>
            </w:r>
          </w:p>
        </w:tc>
        <w:tc>
          <w:tcPr>
            <w:tcW w:type="dxa" w:w="1020"/>
          </w:tcPr>
          <w:p>
            <w:pPr>
              <w:spacing w:after="0"/>
              <w:jc w:val="center"/>
            </w:pPr>
            <w:r>
              <w:rPr>
                <w:b w:val="0"/>
                <w:sz w:val="17"/>
              </w:rPr>
              <w:t>83.00</w:t>
            </w:r>
          </w:p>
        </w:tc>
        <w:tc>
          <w:tcPr>
            <w:tcW w:type="dxa" w:w="1020"/>
          </w:tcPr>
          <w:p>
            <w:pPr>
              <w:spacing w:after="0"/>
              <w:jc w:val="center"/>
            </w:pPr>
            <w:r>
              <w:rPr>
                <w:b w:val="0"/>
                <w:sz w:val="17"/>
              </w:rPr>
              <w:t>57.25</w:t>
            </w:r>
          </w:p>
        </w:tc>
      </w:tr>
      <w:tr>
        <w:tc>
          <w:tcPr>
            <w:tcW w:type="dxa" w:w="4082"/>
          </w:tcPr>
          <w:p>
            <w:pPr>
              <w:spacing w:after="0"/>
            </w:pPr>
            <w:r>
              <w:rPr>
                <w:b/>
                <w:sz w:val="17"/>
              </w:rPr>
              <w:t>Success 1 (full)</w:t>
            </w:r>
          </w:p>
        </w:tc>
        <w:tc>
          <w:tcPr>
            <w:tcW w:type="dxa" w:w="1247"/>
          </w:tcPr>
          <w:p>
            <w:pPr>
              <w:spacing w:after="0"/>
              <w:jc w:val="center"/>
            </w:pPr>
            <w:r>
              <w:rPr>
                <w:b/>
                <w:sz w:val="17"/>
              </w:rPr>
              <w:t>2722.5</w:t>
            </w:r>
          </w:p>
        </w:tc>
        <w:tc>
          <w:tcPr>
            <w:tcW w:type="dxa" w:w="1020"/>
          </w:tcPr>
          <w:p>
            <w:pPr>
              <w:spacing w:after="0"/>
              <w:jc w:val="center"/>
            </w:pPr>
            <w:r>
              <w:rPr>
                <w:b/>
                <w:sz w:val="17"/>
              </w:rPr>
              <w:t>74.00</w:t>
            </w:r>
          </w:p>
        </w:tc>
        <w:tc>
          <w:tcPr>
            <w:tcW w:type="dxa" w:w="1020"/>
          </w:tcPr>
          <w:p>
            <w:pPr>
              <w:spacing w:after="0"/>
              <w:jc w:val="center"/>
            </w:pPr>
            <w:r>
              <w:rPr>
                <w:b/>
                <w:sz w:val="17"/>
              </w:rPr>
              <w:t>88.00</w:t>
            </w:r>
          </w:p>
        </w:tc>
        <w:tc>
          <w:tcPr>
            <w:tcW w:type="dxa" w:w="1020"/>
          </w:tcPr>
          <w:p>
            <w:pPr>
              <w:spacing w:after="0"/>
              <w:jc w:val="center"/>
            </w:pPr>
            <w:r>
              <w:rPr>
                <w:b/>
                <w:sz w:val="17"/>
              </w:rPr>
              <w:t>60.00</w:t>
            </w:r>
          </w:p>
        </w:tc>
      </w:tr>
      <w:tr>
        <w:tc>
          <w:tcPr>
            <w:tcW w:type="dxa" w:w="4082"/>
          </w:tcPr>
          <w:p>
            <w:pPr>
              <w:spacing w:after="0"/>
            </w:pPr>
            <w:r>
              <w:rPr>
                <w:b w:val="0"/>
                <w:sz w:val="17"/>
              </w:rPr>
              <w:t xml:space="preserve">  type B: keep probe (no re-observation)</w:t>
            </w:r>
          </w:p>
        </w:tc>
        <w:tc>
          <w:tcPr>
            <w:tcW w:type="dxa" w:w="1247"/>
          </w:tcPr>
          <w:p>
            <w:pPr>
              <w:spacing w:after="0"/>
              <w:jc w:val="center"/>
            </w:pPr>
            <w:r>
              <w:rPr>
                <w:b w:val="0"/>
                <w:sz w:val="17"/>
              </w:rPr>
              <w:t>1355.6</w:t>
            </w:r>
          </w:p>
        </w:tc>
        <w:tc>
          <w:tcPr>
            <w:tcW w:type="dxa" w:w="1020"/>
          </w:tcPr>
          <w:p>
            <w:pPr>
              <w:spacing w:after="0"/>
              <w:jc w:val="center"/>
            </w:pPr>
            <w:r>
              <w:rPr>
                <w:b w:val="0"/>
                <w:sz w:val="17"/>
              </w:rPr>
              <w:t>71.50</w:t>
            </w:r>
          </w:p>
        </w:tc>
        <w:tc>
          <w:tcPr>
            <w:tcW w:type="dxa" w:w="1020"/>
          </w:tcPr>
          <w:p>
            <w:pPr>
              <w:spacing w:after="0"/>
              <w:jc w:val="center"/>
            </w:pPr>
            <w:r>
              <w:rPr>
                <w:b w:val="0"/>
                <w:sz w:val="17"/>
              </w:rPr>
              <w:t>87.50</w:t>
            </w:r>
          </w:p>
        </w:tc>
        <w:tc>
          <w:tcPr>
            <w:tcW w:type="dxa" w:w="1020"/>
          </w:tcPr>
          <w:p>
            <w:pPr>
              <w:spacing w:after="0"/>
              <w:jc w:val="center"/>
            </w:pPr>
            <w:r>
              <w:rPr>
                <w:b w:val="0"/>
                <w:sz w:val="17"/>
              </w:rPr>
              <w:t>55.50</w:t>
            </w:r>
          </w:p>
        </w:tc>
      </w:tr>
      <w:tr>
        <w:tc>
          <w:tcPr>
            <w:tcW w:type="dxa" w:w="4082"/>
          </w:tcPr>
          <w:p>
            <w:pPr>
              <w:spacing w:after="0"/>
            </w:pPr>
            <w:r>
              <w:rPr>
                <w:b w:val="0"/>
                <w:sz w:val="17"/>
              </w:rPr>
              <w:t xml:space="preserve">  type A: no up-scaling</w:t>
            </w:r>
          </w:p>
        </w:tc>
        <w:tc>
          <w:tcPr>
            <w:tcW w:type="dxa" w:w="1247"/>
          </w:tcPr>
          <w:p>
            <w:pPr>
              <w:spacing w:after="0"/>
              <w:jc w:val="center"/>
            </w:pPr>
            <w:r>
              <w:rPr>
                <w:b w:val="0"/>
                <w:sz w:val="17"/>
              </w:rPr>
              <w:t>2682.0</w:t>
            </w:r>
          </w:p>
        </w:tc>
        <w:tc>
          <w:tcPr>
            <w:tcW w:type="dxa" w:w="1020"/>
          </w:tcPr>
          <w:p>
            <w:pPr>
              <w:spacing w:after="0"/>
              <w:jc w:val="center"/>
            </w:pPr>
            <w:r>
              <w:rPr>
                <w:b w:val="0"/>
                <w:sz w:val="17"/>
              </w:rPr>
              <w:t>73.75</w:t>
            </w:r>
          </w:p>
        </w:tc>
        <w:tc>
          <w:tcPr>
            <w:tcW w:type="dxa" w:w="1020"/>
          </w:tcPr>
          <w:p>
            <w:pPr>
              <w:spacing w:after="0"/>
              <w:jc w:val="center"/>
            </w:pPr>
            <w:r>
              <w:rPr>
                <w:b w:val="0"/>
                <w:sz w:val="17"/>
              </w:rPr>
              <w:t>88.00</w:t>
            </w:r>
          </w:p>
        </w:tc>
        <w:tc>
          <w:tcPr>
            <w:tcW w:type="dxa" w:w="1020"/>
          </w:tcPr>
          <w:p>
            <w:pPr>
              <w:spacing w:after="0"/>
              <w:jc w:val="center"/>
            </w:pPr>
            <w:r>
              <w:rPr>
                <w:b w:val="0"/>
                <w:sz w:val="17"/>
              </w:rPr>
              <w:t>59.50</w:t>
            </w:r>
          </w:p>
        </w:tc>
      </w:tr>
      <w:tr>
        <w:tc>
          <w:tcPr>
            <w:tcW w:type="dxa" w:w="4082"/>
          </w:tcPr>
          <w:p>
            <w:pPr>
              <w:spacing w:after="0"/>
            </w:pPr>
            <w:r>
              <w:rPr>
                <w:b w:val="0"/>
                <w:sz w:val="17"/>
              </w:rPr>
              <w:t xml:space="preserve">  type A: crop at 2,048 tok</w:t>
            </w:r>
          </w:p>
        </w:tc>
        <w:tc>
          <w:tcPr>
            <w:tcW w:type="dxa" w:w="1247"/>
          </w:tcPr>
          <w:p>
            <w:pPr>
              <w:spacing w:after="0"/>
              <w:jc w:val="center"/>
            </w:pPr>
            <w:r>
              <w:rPr>
                <w:b w:val="0"/>
                <w:sz w:val="17"/>
              </w:rPr>
              <w:t>2705.3</w:t>
            </w:r>
          </w:p>
        </w:tc>
        <w:tc>
          <w:tcPr>
            <w:tcW w:type="dxa" w:w="1020"/>
          </w:tcPr>
          <w:p>
            <w:pPr>
              <w:spacing w:after="0"/>
              <w:jc w:val="center"/>
            </w:pPr>
            <w:r>
              <w:rPr>
                <w:b w:val="0"/>
                <w:sz w:val="17"/>
              </w:rPr>
              <w:t>73.62</w:t>
            </w:r>
          </w:p>
        </w:tc>
        <w:tc>
          <w:tcPr>
            <w:tcW w:type="dxa" w:w="1020"/>
          </w:tcPr>
          <w:p>
            <w:pPr>
              <w:spacing w:after="0"/>
              <w:jc w:val="center"/>
            </w:pPr>
            <w:r>
              <w:rPr>
                <w:b w:val="0"/>
                <w:sz w:val="17"/>
              </w:rPr>
              <w:t>87.75</w:t>
            </w:r>
          </w:p>
        </w:tc>
        <w:tc>
          <w:tcPr>
            <w:tcW w:type="dxa" w:w="1020"/>
          </w:tcPr>
          <w:p>
            <w:pPr>
              <w:spacing w:after="0"/>
              <w:jc w:val="center"/>
            </w:pPr>
            <w:r>
              <w:rPr>
                <w:b w:val="0"/>
                <w:sz w:val="17"/>
              </w:rPr>
              <w:t>59.50</w:t>
            </w:r>
          </w:p>
        </w:tc>
      </w:tr>
    </w:tbl>
    <w:p>
      <w:pPr>
        <w:spacing w:after="120"/>
        <w:jc w:val="center"/>
      </w:pPr>
      <w:r>
        <w:rPr>
          <w:i/>
          <w:sz w:val="18"/>
        </w:rPr>
        <w:t>Table 5. Controlled ablations computed from the same force-all logs (identical probe outputs and crops), changing one factor at a time.</w:t>
      </w:r>
    </w:p>
    <w:p>
      <w:pPr>
        <w:jc w:val="both"/>
      </w:pPr>
      <w:r>
        <w:rPr>
          <w:i w:val="0"/>
        </w:rPr>
        <w:t>Escalation is the largest contributor (probe only: 60.75%). Early stopping costs only 0.25 points while saving 188 tokens per instance. Type routing keeps 2K accuracy while saving 254 tokens. Raising the crop to 2,048 tokens does not help, so a 1,024-token crop is sufficient.</w:t>
      </w:r>
    </w:p>
    <w:p>
      <w:pPr>
        <w:pStyle w:val="Heading1"/>
      </w:pPr>
      <w:r>
        <w:t>6. Success and failure analysis</w:t>
      </w:r>
    </w:p>
    <w:tbl>
      <w:tblPr>
        <w:tblStyle w:val="TableGrid"/>
        <w:tblW w:type="auto" w:w="0"/>
        <w:jc w:val="center"/>
        <w:tblLayout w:type="fixed"/>
        <w:tblLook w:firstColumn="1" w:firstRow="1" w:lastColumn="0" w:lastRow="0" w:noHBand="0" w:noVBand="1" w:val="04A0"/>
      </w:tblPr>
      <w:tblGrid>
        <w:gridCol w:w="5102"/>
        <w:gridCol w:w="1417"/>
        <w:gridCol w:w="1417"/>
      </w:tblGrid>
      <w:tr>
        <w:tc>
          <w:tcPr>
            <w:tcW w:type="dxa" w:w="5102"/>
          </w:tcPr>
          <w:p>
            <w:pPr>
              <w:spacing w:after="0"/>
            </w:pPr>
            <w:r>
              <w:rPr>
                <w:b/>
                <w:sz w:val="17"/>
              </w:rPr>
              <w:t>Outcome</w:t>
            </w:r>
          </w:p>
        </w:tc>
        <w:tc>
          <w:tcPr>
            <w:tcW w:type="dxa" w:w="1417"/>
          </w:tcPr>
          <w:p>
            <w:pPr>
              <w:spacing w:after="0"/>
              <w:jc w:val="center"/>
            </w:pPr>
            <w:r>
              <w:rPr>
                <w:b/>
                <w:sz w:val="17"/>
              </w:rPr>
              <w:t>Success 1</w:t>
            </w:r>
          </w:p>
        </w:tc>
        <w:tc>
          <w:tcPr>
            <w:tcW w:type="dxa" w:w="1417"/>
          </w:tcPr>
          <w:p>
            <w:pPr>
              <w:spacing w:after="0"/>
              <w:jc w:val="center"/>
            </w:pPr>
            <w:r>
              <w:rPr>
                <w:b/>
                <w:sz w:val="17"/>
              </w:rPr>
              <w:t>Success 2</w:t>
            </w:r>
          </w:p>
        </w:tc>
      </w:tr>
      <w:tr>
        <w:tc>
          <w:tcPr>
            <w:tcW w:type="dxa" w:w="5102"/>
          </w:tcPr>
          <w:p>
            <w:pPr>
              <w:spacing w:after="0"/>
            </w:pPr>
            <w:r>
              <w:rPr>
                <w:b w:val="0"/>
                <w:sz w:val="17"/>
              </w:rPr>
              <w:t>Early stop – correct</w:t>
            </w:r>
          </w:p>
        </w:tc>
        <w:tc>
          <w:tcPr>
            <w:tcW w:type="dxa" w:w="1417"/>
          </w:tcPr>
          <w:p>
            <w:pPr>
              <w:spacing w:after="0"/>
              <w:jc w:val="center"/>
            </w:pPr>
            <w:r>
              <w:rPr>
                <w:b w:val="0"/>
                <w:sz w:val="17"/>
              </w:rPr>
              <w:t>252</w:t>
            </w:r>
          </w:p>
        </w:tc>
        <w:tc>
          <w:tcPr>
            <w:tcW w:type="dxa" w:w="1417"/>
          </w:tcPr>
          <w:p>
            <w:pPr>
              <w:spacing w:after="0"/>
              <w:jc w:val="center"/>
            </w:pPr>
            <w:r>
              <w:rPr>
                <w:b w:val="0"/>
                <w:sz w:val="17"/>
              </w:rPr>
              <w:t>213</w:t>
            </w:r>
          </w:p>
        </w:tc>
      </w:tr>
      <w:tr>
        <w:tc>
          <w:tcPr>
            <w:tcW w:type="dxa" w:w="5102"/>
          </w:tcPr>
          <w:p>
            <w:pPr>
              <w:spacing w:after="0"/>
            </w:pPr>
            <w:r>
              <w:rPr>
                <w:b w:val="0"/>
                <w:sz w:val="17"/>
              </w:rPr>
              <w:t>Early stop – wrong (premature stopping)</w:t>
            </w:r>
          </w:p>
        </w:tc>
        <w:tc>
          <w:tcPr>
            <w:tcW w:type="dxa" w:w="1417"/>
          </w:tcPr>
          <w:p>
            <w:pPr>
              <w:spacing w:after="0"/>
              <w:jc w:val="center"/>
            </w:pPr>
            <w:r>
              <w:rPr>
                <w:b w:val="0"/>
                <w:sz w:val="17"/>
              </w:rPr>
              <w:t>12</w:t>
            </w:r>
          </w:p>
        </w:tc>
        <w:tc>
          <w:tcPr>
            <w:tcW w:type="dxa" w:w="1417"/>
          </w:tcPr>
          <w:p>
            <w:pPr>
              <w:spacing w:after="0"/>
              <w:jc w:val="center"/>
            </w:pPr>
            <w:r>
              <w:rPr>
                <w:b w:val="0"/>
                <w:sz w:val="17"/>
              </w:rPr>
              <w:t>3</w:t>
            </w:r>
          </w:p>
        </w:tc>
      </w:tr>
      <w:tr>
        <w:tc>
          <w:tcPr>
            <w:tcW w:type="dxa" w:w="5102"/>
          </w:tcPr>
          <w:p>
            <w:pPr>
              <w:spacing w:after="0"/>
            </w:pPr>
            <w:r>
              <w:rPr>
                <w:b w:val="0"/>
                <w:sz w:val="17"/>
              </w:rPr>
              <w:t>Escalated – fixed (probe wrong → final correct)</w:t>
            </w:r>
          </w:p>
        </w:tc>
        <w:tc>
          <w:tcPr>
            <w:tcW w:type="dxa" w:w="1417"/>
          </w:tcPr>
          <w:p>
            <w:pPr>
              <w:spacing w:after="0"/>
              <w:jc w:val="center"/>
            </w:pPr>
            <w:r>
              <w:rPr>
                <w:b w:val="0"/>
                <w:sz w:val="17"/>
              </w:rPr>
              <w:t>132</w:t>
            </w:r>
          </w:p>
        </w:tc>
        <w:tc>
          <w:tcPr>
            <w:tcW w:type="dxa" w:w="1417"/>
          </w:tcPr>
          <w:p>
            <w:pPr>
              <w:spacing w:after="0"/>
              <w:jc w:val="center"/>
            </w:pPr>
            <w:r>
              <w:rPr>
                <w:b w:val="0"/>
                <w:sz w:val="17"/>
              </w:rPr>
              <w:t>96</w:t>
            </w:r>
          </w:p>
        </w:tc>
      </w:tr>
      <w:tr>
        <w:tc>
          <w:tcPr>
            <w:tcW w:type="dxa" w:w="5102"/>
          </w:tcPr>
          <w:p>
            <w:pPr>
              <w:spacing w:after="0"/>
            </w:pPr>
            <w:r>
              <w:rPr>
                <w:b w:val="0"/>
                <w:sz w:val="17"/>
              </w:rPr>
              <w:t>Escalated – stayed correct</w:t>
            </w:r>
          </w:p>
        </w:tc>
        <w:tc>
          <w:tcPr>
            <w:tcW w:type="dxa" w:w="1417"/>
          </w:tcPr>
          <w:p>
            <w:pPr>
              <w:spacing w:after="0"/>
              <w:jc w:val="center"/>
            </w:pPr>
            <w:r>
              <w:rPr>
                <w:b w:val="0"/>
                <w:sz w:val="17"/>
              </w:rPr>
              <w:t>208</w:t>
            </w:r>
          </w:p>
        </w:tc>
        <w:tc>
          <w:tcPr>
            <w:tcW w:type="dxa" w:w="1417"/>
          </w:tcPr>
          <w:p>
            <w:pPr>
              <w:spacing w:after="0"/>
              <w:jc w:val="center"/>
            </w:pPr>
            <w:r>
              <w:rPr>
                <w:b w:val="0"/>
                <w:sz w:val="17"/>
              </w:rPr>
              <w:t>266</w:t>
            </w:r>
          </w:p>
        </w:tc>
      </w:tr>
      <w:tr>
        <w:tc>
          <w:tcPr>
            <w:tcW w:type="dxa" w:w="5102"/>
          </w:tcPr>
          <w:p>
            <w:pPr>
              <w:spacing w:after="0"/>
            </w:pPr>
            <w:r>
              <w:rPr>
                <w:b w:val="0"/>
                <w:sz w:val="17"/>
              </w:rPr>
              <w:t>Unnecessary escalation (probe correct → final wrong)</w:t>
            </w:r>
          </w:p>
        </w:tc>
        <w:tc>
          <w:tcPr>
            <w:tcW w:type="dxa" w:w="1417"/>
          </w:tcPr>
          <w:p>
            <w:pPr>
              <w:spacing w:after="0"/>
              <w:jc w:val="center"/>
            </w:pPr>
            <w:r>
              <w:rPr>
                <w:b w:val="0"/>
                <w:sz w:val="17"/>
              </w:rPr>
              <w:t>26</w:t>
            </w:r>
          </w:p>
        </w:tc>
        <w:tc>
          <w:tcPr>
            <w:tcW w:type="dxa" w:w="1417"/>
          </w:tcPr>
          <w:p>
            <w:pPr>
              <w:spacing w:after="0"/>
              <w:jc w:val="center"/>
            </w:pPr>
            <w:r>
              <w:rPr>
                <w:b w:val="0"/>
                <w:sz w:val="17"/>
              </w:rPr>
              <w:t>7</w:t>
            </w:r>
          </w:p>
        </w:tc>
      </w:tr>
      <w:tr>
        <w:tc>
          <w:tcPr>
            <w:tcW w:type="dxa" w:w="5102"/>
          </w:tcPr>
          <w:p>
            <w:pPr>
              <w:spacing w:after="0"/>
            </w:pPr>
            <w:r>
              <w:rPr>
                <w:b w:val="0"/>
                <w:sz w:val="17"/>
              </w:rPr>
              <w:t>Escalated – still wrong</w:t>
            </w:r>
          </w:p>
        </w:tc>
        <w:tc>
          <w:tcPr>
            <w:tcW w:type="dxa" w:w="1417"/>
          </w:tcPr>
          <w:p>
            <w:pPr>
              <w:spacing w:after="0"/>
              <w:jc w:val="center"/>
            </w:pPr>
            <w:r>
              <w:rPr>
                <w:b w:val="0"/>
                <w:sz w:val="17"/>
              </w:rPr>
              <w:t>170</w:t>
            </w:r>
          </w:p>
        </w:tc>
        <w:tc>
          <w:tcPr>
            <w:tcW w:type="dxa" w:w="1417"/>
          </w:tcPr>
          <w:p>
            <w:pPr>
              <w:spacing w:after="0"/>
              <w:jc w:val="center"/>
            </w:pPr>
            <w:r>
              <w:rPr>
                <w:b w:val="0"/>
                <w:sz w:val="17"/>
              </w:rPr>
              <w:t>215</w:t>
            </w:r>
          </w:p>
        </w:tc>
      </w:tr>
    </w:tbl>
    <w:p>
      <w:pPr>
        <w:spacing w:after="120"/>
        <w:jc w:val="center"/>
      </w:pPr>
      <w:r>
        <w:rPr>
          <w:i/>
          <w:sz w:val="18"/>
        </w:rPr>
        <w:t>Table 6. Instance-level outcome breakdown of the final runs.</w:t>
      </w:r>
    </w:p>
    <w:p>
      <w:pPr>
        <w:jc w:val="both"/>
      </w:pPr>
      <w:r>
        <w:rPr>
          <w:i w:val="0"/>
        </w:rPr>
        <w:t>Premature stopping is rare (12 in S1, 3 in S2); a typical case is a book-title question (#216) answered wrongly with probability 1.0. Unnecessary escalation affects 7 instances in S2 but 26 in S1, because S1 escalates more (lower τ) and does not fuse the probe for type B. Measured against the dataset labels (analysis only), the router sent 45 cross questions to type A and 19 single questions to type B in S1. Many of the former, such as identifying the president inside a red box on Mount Rushmore, really do need only one region and were answered correctly by the crop. The remaining errors are mostly cross-instance: map questions asking which numbered locations belong to the same country (48 instances) were answered correctly only 1 (S1) / 10 (S2) times, below chance, and counting questions (40 instances) 25 / 22 times.</w:t>
      </w:r>
    </w:p>
    <w:p>
      <w:pPr>
        <w:keepNext/>
        <w:jc w:val="center"/>
      </w:pPr>
      <w:r>
        <w:drawing>
          <wp:inline xmlns:a="http://schemas.openxmlformats.org/drawingml/2006/main" xmlns:pic="http://schemas.openxmlformats.org/drawingml/2006/picture">
            <wp:extent cx="5760000" cy="2790000"/>
            <wp:docPr id="4" name="Picture 4"/>
            <wp:cNvGraphicFramePr>
              <a:graphicFrameLocks noChangeAspect="1"/>
            </wp:cNvGraphicFramePr>
            <a:graphic>
              <a:graphicData uri="http://schemas.openxmlformats.org/drawingml/2006/picture">
                <pic:pic>
                  <pic:nvPicPr>
                    <pic:cNvPr id="0" name="qual.png"/>
                    <pic:cNvPicPr/>
                  </pic:nvPicPr>
                  <pic:blipFill>
                    <a:blip r:embed="rId12"/>
                    <a:stretch>
                      <a:fillRect/>
                    </a:stretch>
                  </pic:blipFill>
                  <pic:spPr>
                    <a:xfrm>
                      <a:off x="0" y="0"/>
                      <a:ext cx="5760000" cy="2790000"/>
                    </a:xfrm>
                    <a:prstGeom prst="rect"/>
                  </pic:spPr>
                </pic:pic>
              </a:graphicData>
            </a:graphic>
          </wp:inline>
        </w:drawing>
      </w:r>
    </w:p>
    <w:p>
      <w:pPr>
        <w:spacing w:after="120"/>
        <w:jc w:val="center"/>
      </w:pPr>
      <w:r>
        <w:rPr>
          <w:i/>
          <w:sz w:val="18"/>
        </w:rPr>
        <w:t>Figure 4. Representative cases (Success 2). Top: global view with probe box (red) and crop region (yellow, dashed). Bottom: the crop given to Call 3.</w:t>
      </w:r>
    </w:p>
    <w:p>
      <w:pPr>
        <w:jc w:val="both"/>
      </w:pPr>
      <w:r>
        <w:rPr>
          <w:i w:val="0"/>
        </w:rPr>
        <w:t>In #252 (license plate) and #344 (speed-limit sign), text that is unreadable in the 1,024-token global view becomes readable in the native-resolution crop, turning a wrong probe answer into a correct one. #88 combines unreadable detail with confusion: the box points near a bench where a person and the bicycle are, but the bicycle is only a few dozen pixels wide even at native resolution, and the model answers with the color of the person's red clothing. #148 is a recognition failure with the right region: a white object that appears to be the camera is on the pillar, yet the 2B model chooses 'there is no Surveillance camera'. Because the pipeline relies on a single box, a wrong first localization cannot be recovered.</w:t>
      </w:r>
    </w:p>
    <w:p>
      <w:pPr>
        <w:pStyle w:val="Heading1"/>
      </w:pPr>
      <w:r>
        <w:t>7. Limitations and conclusion</w:t>
      </w:r>
    </w:p>
    <w:p>
      <w:pPr>
        <w:pStyle w:val="ListBullet"/>
        <w:spacing w:after="20"/>
      </w:pPr>
      <w:r>
        <w:rPr>
          <w:b/>
        </w:rPr>
        <w:t>Tuning on the test set.</w:t>
      </w:r>
      <w:r>
        <w:t xml:space="preserve"> τ, the type threshold, crop settings and α were selected on the same 800 instances without a separate validation set, and the type prompt was checked against the category labels. Accuracy varies by about one point for τ ∈ [0.99, 1], so the choice is not very sensitive, but the reported numbers may be slightly optimistic.</w:t>
      </w:r>
    </w:p>
    <w:p>
      <w:pPr>
        <w:pStyle w:val="ListBullet"/>
        <w:spacing w:after="20"/>
      </w:pPr>
      <w:r>
        <w:rPr>
          <w:b/>
        </w:rPr>
        <w:t>Token accounting.</w:t>
      </w:r>
      <w:r>
        <w:t xml:space="preserve"> Only &lt;|image_pad|&gt; tokens are counted. Adding the two vision start/end tokens per image (on average 1.67 images in S1 and 1.37 in S2) adds only 3.3 / 2.7 tokens, which keeps both runs within budget.</w:t>
      </w:r>
    </w:p>
    <w:p>
      <w:pPr>
        <w:jc w:val="both"/>
      </w:pPr>
      <w:r>
        <w:rPr>
          <w:i w:val="0"/>
        </w:rPr>
        <w:t>In summary, obtaining the model's own answer confidence and evidence box from one low-resolution call, and choosing how to look further with an image-free type decision, reaches 74.00% (Success 1) and 71.88% (Success 2) with fewer tokens than plain global down-sampling. The main remaining weakness is cross-instance reasoning, especially map questions that require reasoning over the whole scene.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Calibr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