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3b1906b638164a4365cbc106137858a880164b"/>
    <w:p>
      <w:pPr>
        <w:pStyle w:val="Heading1"/>
      </w:pPr>
      <w:r>
        <w:t xml:space="preserve">A Two-Stage Screening Framework for Obstructive Sleep Apnea: Integrating Population Surveillance and HSAT-Based Triage</w:t>
      </w:r>
    </w:p>
    <w:p>
      <w:pPr>
        <w:pStyle w:val="FirstParagraph"/>
      </w:pPr>
      <w:r>
        <w:rPr>
          <w:b/>
          <w:bCs/>
        </w:rPr>
        <w:t xml:space="preserve">Abstract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Obstructive Sleep Apnea (OSA) is highly prevalent but underdiagnosed. Standard screening tools like STOP-Bang have high sensitivity but low specificity, leading to excessive referrals for expensive Polysomnography (PSG).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To estimate the burden of OSA screening positivity in the Korean population and develop a secondary triage model using Home Sleep Apnea Test (HSAT)-compatible features to prioritize high-risk patients.</w:t>
      </w:r>
      <w:r>
        <w:t xml:space="preserve"> </w:t>
      </w:r>
      <w:r>
        <w:rPr>
          <w:b/>
          <w:bCs/>
        </w:rPr>
        <w:t xml:space="preserve">Methods:</w:t>
      </w:r>
      <w:r>
        <w:t xml:space="preserve"> </w:t>
      </w:r>
      <w:r>
        <w:t xml:space="preserve">We analyzed data from the Korea National Health and Nutrition Examination Survey (KNHANES 2019-2023, N=20,906) to determine the prevalence of STOP-Bang high-risk (score ≥3) individuals. Subsequently, using a clinical PSG database (N=779), we trained a Random Forest triage model to predict Severe OSA (AHI ≥30) using only demographics and HSAT-derived variables (ODI, SpO2), excluding diagnostic indices (AHI, RDI).</w:t>
      </w:r>
      <w:r>
        <w:t xml:space="preserve"> </w:t>
      </w:r>
      <w:r>
        <w:rPr>
          <w:b/>
          <w:bCs/>
        </w:rPr>
        <w:t xml:space="preserve">Results:</w:t>
      </w:r>
      <w:r>
        <w:t xml:space="preserve"> </w:t>
      </w:r>
      <w:r>
        <w:t xml:space="preserve">The population prevalence of STOP-Bang high-risk status was 37.3% in adults ≥40 years, with a marked sex disparity (Men 78.1% vs. Women 6.1%) driven by scoring structure. In the clinical validation, the HSAT-based triage model achieved an AUC of</w:t>
      </w:r>
      <w:r>
        <w:t xml:space="preserve"> </w:t>
      </w:r>
      <w:r>
        <w:rPr>
          <w:b/>
          <w:bCs/>
        </w:rPr>
        <w:t xml:space="preserve">0.905</w:t>
      </w:r>
      <w:r>
        <w:t xml:space="preserve">, Sensitivity of 86.1%, and Specificity of 78.6%, significantly outperforming the baseline STOP-Bang specificity (&lt;40%).</w:t>
      </w:r>
      <w:r>
        <w:t xml:space="preserve"> </w:t>
      </w:r>
      <w:r>
        <w:rPr>
          <w:b/>
          <w:bCs/>
        </w:rPr>
        <w:t xml:space="preserve">Conclusion:</w:t>
      </w:r>
      <w:r>
        <w:t xml:space="preserve"> </w:t>
      </w:r>
      <w:r>
        <w:t xml:space="preserve">A massive burden of screening-positive individuals exists in the general population. A two-stage strategy incorporating a secondary HSAT-based triage model can effective filter false positives, optimizing resource allocation for confirmatory PSG.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Obstructive Sleep Apnea (OSA) is a major public health concern associated with cardiovascular morbidity, metabolic dysregulation, and impaired quality of life. Despite its high prevalence, estimated at 15-30% in males and 10-15% in females, the majority of cases remain undiagnosed. The gold standard for diagnosis, Polysomnography (PSG), is resource-intensive, expensive, and limited by facility availability.</w:t>
      </w:r>
    </w:p>
    <w:p>
      <w:pPr>
        <w:pStyle w:val="BodyText"/>
      </w:pPr>
      <w:r>
        <w:t xml:space="preserve">To address this, screening questionnaires like STOP-Bang have been widely adopted. While STOP-Bang demonstrates excellent sensitivity (90-100% for severe OSA), its specificity is notoriously low (often &lt;40%), resulting in a high rate of false-positive referrals that overwhelm sleep clinics. This necessitates a</w:t>
      </w:r>
      <w:r>
        <w:t xml:space="preserve"> </w:t>
      </w:r>
      <w:r>
        <w:rPr>
          <w:b/>
          <w:bCs/>
        </w:rPr>
        <w:t xml:space="preserve">Two-Stage Screening Strategy</w:t>
      </w:r>
      <w:r>
        <w:t xml:space="preserve">, where a broad primary screen is followed by a more specific secondary triage before PSG referral.</w:t>
      </w:r>
    </w:p>
    <w:p>
      <w:pPr>
        <w:pStyle w:val="BodyText"/>
      </w:pPr>
      <w:r>
        <w:t xml:space="preserve">In this study, we propose an integrated framework: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Stage 1 Assessment:</w:t>
      </w:r>
      <w:r>
        <w:t xml:space="preserve"> </w:t>
      </w:r>
      <w:r>
        <w:t xml:space="preserve">Quantifying the</w:t>
      </w:r>
      <w:r>
        <w:t xml:space="preserve"> </w:t>
      </w:r>
      <w:r>
        <w:t xml:space="preserve">“Screening Burden”</w:t>
      </w:r>
      <w:r>
        <w:t xml:space="preserve"> </w:t>
      </w:r>
      <w:r>
        <w:t xml:space="preserve">in the general population using KNHANES data (N=20,906).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Stage 2 Triage:</w:t>
      </w:r>
      <w:r>
        <w:t xml:space="preserve"> </w:t>
      </w:r>
      <w:r>
        <w:t xml:space="preserve">Developing a Machine Learning triage model that utilizes only variables accessible via Home Sleep Apnea Testing (HSAT)—specifically Oxygen Desaturation Index (ODI) and SpO2 metrics—to identify patients requiring priority in-lab PSG.</w:t>
      </w:r>
    </w:p>
    <w:bookmarkEnd w:id="9"/>
    <w:bookmarkStart w:id="13" w:name="methods"/>
    <w:p>
      <w:pPr>
        <w:pStyle w:val="Heading2"/>
      </w:pPr>
      <w:r>
        <w:t xml:space="preserve">2. Methods</w:t>
      </w:r>
    </w:p>
    <w:bookmarkStart w:id="10" w:name="data-sources"/>
    <w:p>
      <w:pPr>
        <w:pStyle w:val="Heading3"/>
      </w:pPr>
      <w:r>
        <w:t xml:space="preserve">2.1 Data 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Population Dataset (Stage 1):</w:t>
      </w:r>
      <w:r>
        <w:t xml:space="preserve"> </w:t>
      </w:r>
      <w:r>
        <w:t xml:space="preserve">KNHANES VIII (2019-2023), a nationally representative cross-sectional survey. We analyzed 20,906 adults. Neck circumference (NC), missing in standard surveys, was imputed using a validated regression model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0.86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Dataset (Stage 2):</w:t>
      </w:r>
      <w:r>
        <w:t xml:space="preserve"> </w:t>
      </w:r>
      <w:r>
        <w:t xml:space="preserve">A retrospective cohort of 779 patients undergoing PSG at a specialized sleep center.</w:t>
      </w:r>
    </w:p>
    <w:bookmarkEnd w:id="10"/>
    <w:bookmarkStart w:id="11" w:name="stage-1-population-epidemiology"/>
    <w:p>
      <w:pPr>
        <w:pStyle w:val="Heading3"/>
      </w:pPr>
      <w:r>
        <w:t xml:space="preserve">2.2 Stage 1: Population Epidemiology</w:t>
      </w:r>
    </w:p>
    <w:p>
      <w:pPr>
        <w:pStyle w:val="FirstParagraph"/>
      </w:pPr>
      <w:r>
        <w:t xml:space="preserve">We determined the prevalence of</w:t>
      </w:r>
      <w:r>
        <w:t xml:space="preserve"> </w:t>
      </w:r>
      <w:r>
        <w:t xml:space="preserve">“High Risk”</w:t>
      </w:r>
      <w:r>
        <w:t xml:space="preserve"> </w:t>
      </w:r>
      <w:r>
        <w:t xml:space="preserve">status (STOP-Bang ≥ 3). We assessed associations with 43 lifestyle and clinical factors.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Methodological Note:</w:t>
      </w:r>
      <w:r>
        <w:t xml:space="preserve"> </w:t>
      </w:r>
      <w:r>
        <w:t xml:space="preserve">We prioritized</w:t>
      </w:r>
      <w:r>
        <w:t xml:space="preserve"> </w:t>
      </w:r>
      <w:r>
        <w:rPr>
          <w:b/>
          <w:bCs/>
        </w:rPr>
        <w:t xml:space="preserve">Crude Odds Ratios (ORs)</w:t>
      </w:r>
      <w:r>
        <w:t xml:space="preserve"> </w:t>
      </w:r>
      <w:r>
        <w:t xml:space="preserve">for descriptive analysis. We deliberately avoided multivariable adjustment for STOP-Bang components (Age, Sex, BMI) to prevent</w:t>
      </w:r>
      <w:r>
        <w:t xml:space="preserve"> </w:t>
      </w:r>
      <w:r>
        <w:rPr>
          <w:b/>
          <w:bCs/>
        </w:rPr>
        <w:t xml:space="preserve">Outcome Variable Circularity</w:t>
      </w:r>
      <w:r>
        <w:t xml:space="preserve">, a structural bias where adjusting for scoring criteria creates artificial</w:t>
      </w:r>
      <w:r>
        <w:t xml:space="preserve"> </w:t>
      </w:r>
      <w:r>
        <w:t xml:space="preserve">“protective”</w:t>
      </w:r>
      <w:r>
        <w:t xml:space="preserve"> </w:t>
      </w:r>
      <w:r>
        <w:t xml:space="preserve">associations.</w:t>
      </w:r>
    </w:p>
    <w:bookmarkEnd w:id="11"/>
    <w:bookmarkStart w:id="12" w:name="stage-2-hsat-based-triage-model"/>
    <w:p>
      <w:pPr>
        <w:pStyle w:val="Heading3"/>
      </w:pPr>
      <w:r>
        <w:t xml:space="preserve">2.3 Stage 2: HSAT-Based Triage Model</w:t>
      </w:r>
    </w:p>
    <w:p>
      <w:pPr>
        <w:pStyle w:val="FirstParagraph"/>
      </w:pPr>
      <w:r>
        <w:t xml:space="preserve">We developed a Random Forest Classifier to predict</w:t>
      </w:r>
      <w:r>
        <w:t xml:space="preserve"> </w:t>
      </w:r>
      <w:r>
        <w:rPr>
          <w:b/>
          <w:bCs/>
        </w:rPr>
        <w:t xml:space="preserve">Severe OSA (AHI ≥ 30)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Inclusion Criteria:</w:t>
      </w:r>
      <w:r>
        <w:t xml:space="preserve"> </w:t>
      </w:r>
      <w:r>
        <w:t xml:space="preserve">Patients with complete Demographic and Oximetry data.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Feature Selection (Strict Triage Horizon):</w:t>
      </w:r>
      <w:r>
        <w:t xml:space="preserve"> </w:t>
      </w:r>
      <w:r>
        <w:t xml:space="preserve">To prevent data leakage, we excluded all PSG-derived diagnostic indices (AHI, RDI, Arousal Index). The model included only: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Demographics:</w:t>
      </w:r>
      <w:r>
        <w:t xml:space="preserve"> </w:t>
      </w:r>
      <w:r>
        <w:t xml:space="preserve">Age, Sex, BMI, Neck Circumference.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HSAT-Compatible Metrics:</w:t>
      </w:r>
      <w:r>
        <w:t xml:space="preserve"> </w:t>
      </w:r>
      <w:r>
        <w:t xml:space="preserve">Oxygen Desaturation Index (ODI), Mean SpO2, Minimum SpO2, % Time SpO2 &lt; 90%.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Stratified Train/Test split (70/30) with class balancing. Evaluation metrics included Area Under the Curve (AUC), Sensitivity, Specificity, and Positive Predictive Value (PPV).</w:t>
      </w:r>
    </w:p>
    <w:bookmarkEnd w:id="12"/>
    <w:bookmarkEnd w:id="13"/>
    <w:bookmarkStart w:id="16" w:name="results"/>
    <w:p>
      <w:pPr>
        <w:pStyle w:val="Heading2"/>
      </w:pPr>
      <w:r>
        <w:t xml:space="preserve">3. Results</w:t>
      </w:r>
    </w:p>
    <w:bookmarkStart w:id="14" w:name="X78349f6e3d6dc2545bf49e486a2e6595992c000"/>
    <w:p>
      <w:pPr>
        <w:pStyle w:val="Heading3"/>
      </w:pPr>
      <w:r>
        <w:t xml:space="preserve">3.1 Stage 1: The Burden of Screening Positivity</w:t>
      </w:r>
    </w:p>
    <w:p>
      <w:pPr>
        <w:pStyle w:val="FirstParagraph"/>
      </w:pPr>
      <w:r>
        <w:t xml:space="preserve">In the Korean adult population (≥40 years),</w:t>
      </w:r>
      <w:r>
        <w:t xml:space="preserve"> </w:t>
      </w:r>
      <w:r>
        <w:rPr>
          <w:b/>
          <w:bCs/>
        </w:rPr>
        <w:t xml:space="preserve">37.3%</w:t>
      </w:r>
      <w:r>
        <w:t xml:space="preserve"> </w:t>
      </w:r>
      <w:r>
        <w:t xml:space="preserve">were classified as High Risk (STOP-Bang ≥ 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Sex Disparity:</w:t>
      </w:r>
      <w:r>
        <w:t xml:space="preserve"> </w:t>
      </w:r>
      <w:r>
        <w:t xml:space="preserve">78.1% of Men vs. 6.1% of Women screened positive. This 12-fold difference reflects the structural scoring of STOP-Bang (Male sex = 1 point), meaning men ≥50 years (2 points total) require only one symptom to cross the high-risk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Crude Associations:</w:t>
      </w:r>
      <w:r>
        <w:t xml:space="preserve"> </w:t>
      </w:r>
      <w:r>
        <w:t xml:space="preserve">Strong observational associations were found for Diabetes (OR 5.62), Hypertension (OR 4.23), and High Sodium Intake (OR 3.61).</w:t>
      </w:r>
    </w:p>
    <w:bookmarkEnd w:id="14"/>
    <w:bookmarkStart w:id="15" w:name="stage-2-triage-model-performance"/>
    <w:p>
      <w:pPr>
        <w:pStyle w:val="Heading3"/>
      </w:pPr>
      <w:r>
        <w:t xml:space="preserve">3.2 Stage 2: Triage Model Performance</w:t>
      </w:r>
    </w:p>
    <w:p>
      <w:pPr>
        <w:pStyle w:val="FirstParagraph"/>
      </w:pPr>
      <w:r>
        <w:t xml:space="preserve">The Random Forest model utilizing HSAT-compatible features achieved robust discrimination for Severe OSA.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0.9052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0.88 - 0.93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81.0 - 90.5%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71.2 - 85.1%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PPV</w:t>
            </w:r>
            <w:r>
              <w:t xml:space="preserve"> </w:t>
            </w:r>
            <w:r>
              <w:t xml:space="preserve">(Clinical Preval.)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 Importance:</w:t>
      </w:r>
      <w:r>
        <w:t xml:space="preserve"> </w:t>
      </w:r>
      <w:r>
        <w:t xml:space="preserve">The top predictors were</w:t>
      </w:r>
      <w:r>
        <w:t xml:space="preserve"> </w:t>
      </w:r>
      <w:r>
        <w:rPr>
          <w:b/>
          <w:bCs/>
        </w:rPr>
        <w:t xml:space="preserve">% Time SpO2 &lt; 90%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Mean SpO2</w:t>
      </w:r>
      <w:r>
        <w:t xml:space="preserve">, confirming that oximetry kinetics are the most critical signals for severity prediction, outperforming simple demographics.</w:t>
      </w:r>
    </w:p>
    <w:bookmarkEnd w:id="15"/>
    <w:bookmarkEnd w:id="16"/>
    <w:bookmarkStart w:id="20" w:name="discussion"/>
    <w:p>
      <w:pPr>
        <w:pStyle w:val="Heading2"/>
      </w:pPr>
      <w:r>
        <w:t xml:space="preserve">4. Discussion</w:t>
      </w:r>
    </w:p>
    <w:bookmarkStart w:id="17" w:name="from-screening-to-triage"/>
    <w:p>
      <w:pPr>
        <w:pStyle w:val="Heading3"/>
      </w:pPr>
      <w:r>
        <w:t xml:space="preserve">4.1 From Screening to Triage</w:t>
      </w:r>
    </w:p>
    <w:p>
      <w:pPr>
        <w:pStyle w:val="FirstParagraph"/>
      </w:pPr>
      <w:r>
        <w:t xml:space="preserve">Our findings highlight the specific limitation of STOP-Bang: a 37%</w:t>
      </w:r>
      <w:r>
        <w:t xml:space="preserve"> </w:t>
      </w:r>
      <w:r>
        <w:t xml:space="preserve">“High Risk”</w:t>
      </w:r>
      <w:r>
        <w:t xml:space="preserve"> </w:t>
      </w:r>
      <w:r>
        <w:t xml:space="preserve">prevalence in the general population is too broad to serve as a direct referral criterion, given the true disease prevalence is estimated at 15-20%. The massive volume of false positives necessitates a filter.</w:t>
      </w:r>
      <w:r>
        <w:t xml:space="preserve"> </w:t>
      </w:r>
      <w:r>
        <w:t xml:space="preserve">Our Stage 2 model demonstrates that adding simple oximetry data (HSAT) transforms the screening process. With an AUC of 0.905, this</w:t>
      </w:r>
      <w:r>
        <w:t xml:space="preserve"> </w:t>
      </w:r>
      <w:r>
        <w:t xml:space="preserve">“Enhanced Triage”</w:t>
      </w:r>
      <w:r>
        <w:t xml:space="preserve"> </w:t>
      </w:r>
      <w:r>
        <w:t xml:space="preserve">strategy can filter out ~78% of non-severe cases (Specificity) while retaining ~86% of severe cases for priority care.</w:t>
      </w:r>
    </w:p>
    <w:bookmarkEnd w:id="17"/>
    <w:bookmarkStart w:id="18" w:name="handling-methodological-artifacts"/>
    <w:p>
      <w:pPr>
        <w:pStyle w:val="Heading3"/>
      </w:pPr>
      <w:r>
        <w:t xml:space="preserve">4.2 Handling Methodological Artifacts</w:t>
      </w:r>
    </w:p>
    <w:p>
      <w:pPr>
        <w:pStyle w:val="FirstParagraph"/>
      </w:pPr>
      <w:r>
        <w:t xml:space="preserve">A key insight from this study is the identification of</w:t>
      </w:r>
      <w:r>
        <w:t xml:space="preserve"> </w:t>
      </w:r>
      <w:r>
        <w:rPr>
          <w:b/>
          <w:bCs/>
        </w:rPr>
        <w:t xml:space="preserve">Outcome Circularity</w:t>
      </w:r>
      <w:r>
        <w:t xml:space="preserve">. Previous attempts to</w:t>
      </w:r>
      <w:r>
        <w:t xml:space="preserve"> </w:t>
      </w:r>
      <w:r>
        <w:t xml:space="preserve">“adjust”</w:t>
      </w:r>
      <w:r>
        <w:t xml:space="preserve"> </w:t>
      </w:r>
      <w:r>
        <w:t xml:space="preserve">risk factor analyses for Age/Sex/BMI resulted in paradoxical protective effects for obesity. We advocate for interpreting STOP-Bang epidemiologic associations carefully, recognizing them as</w:t>
      </w:r>
      <w:r>
        <w:t xml:space="preserve"> </w:t>
      </w:r>
      <w:r>
        <w:t xml:space="preserve">“Risk Markers for Screening Positivity”</w:t>
      </w:r>
      <w:r>
        <w:t xml:space="preserve"> </w:t>
      </w:r>
      <w:r>
        <w:t xml:space="preserve">rather than independent causal factors for OSA.</w:t>
      </w:r>
    </w:p>
    <w:bookmarkEnd w:id="18"/>
    <w:bookmarkStart w:id="19" w:name="limitations"/>
    <w:p>
      <w:pPr>
        <w:pStyle w:val="Heading3"/>
      </w:pPr>
      <w:r>
        <w:t xml:space="preserve">4.3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1:</w:t>
      </w:r>
      <w:r>
        <w:t xml:space="preserve"> </w:t>
      </w:r>
      <w:r>
        <w:t xml:space="preserve">Reliance on self-reported symptoms in KNHANES.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2:</w:t>
      </w:r>
      <w:r>
        <w:t xml:space="preserve"> </w:t>
      </w:r>
      <w:r>
        <w:t xml:space="preserve">The HSAT metrics (ODI, SpO2) were derived from PSG channels. While theoretically identical to independent HSAT devices, future validation using actual wearable data is recommended.</w:t>
      </w:r>
    </w:p>
    <w:bookmarkEnd w:id="19"/>
    <w:bookmarkEnd w:id="20"/>
    <w:bookmarkStart w:id="21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Integrating broad population screening with an HSAT-based triage model offers a pragmatic solution to the OSA diagnostic bottleneck. By leveraging oximetry data in a second stage, healthcare systems can drastically reduce unnecessary PSG referrals without compromising the detection of severe cases.</w:t>
      </w:r>
    </w:p>
    <w:p>
      <w:pPr>
        <w:pStyle w:val="BodyText"/>
      </w:pPr>
      <w:r>
        <w:rPr>
          <w:b/>
          <w:bCs/>
        </w:rPr>
        <w:t xml:space="preserve">Conflict of Interest:</w:t>
      </w:r>
      <w:r>
        <w:t xml:space="preserve"> </w:t>
      </w:r>
      <w:r>
        <w:t xml:space="preserve">None declared.</w:t>
      </w:r>
      <w:r>
        <w:t xml:space="preserve"> </w:t>
      </w:r>
      <w:r>
        <w:rPr>
          <w:b/>
          <w:bCs/>
        </w:rPr>
        <w:t xml:space="preserve">Funding:</w:t>
      </w:r>
      <w:r>
        <w:t xml:space="preserve"> </w:t>
      </w:r>
      <w:r>
        <w:t xml:space="preserve">None.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2025-12-15T15:25:02Z</dcterms:created>
  <dcterms:modified xsi:type="dcterms:W3CDTF">2025-12-15T15:25:02Z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