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사 업 계 획 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추진 배경 및 목적</w:t>
            </w:r>
          </w:p>
        </w:tc>
      </w:tr>
      <w:tr>
        <w:tc>
          <w:tcPr>
            <w:tcW w:type="dxa" w:w="8640"/>
          </w:tcPr>
          <w:p>
            <w:r>
              <w:t>{{BACKGROUND}}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2. 사업 내용</w:t>
            </w:r>
          </w:p>
        </w:tc>
      </w:tr>
      <w:tr>
        <w:tc>
          <w:tcPr>
            <w:tcW w:type="dxa" w:w="8640"/>
          </w:tcPr>
          <w:p>
            <w:r>
              <w:t>{{CONTENT}}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3. 예산 및 일정</w:t>
            </w:r>
          </w:p>
        </w:tc>
      </w:tr>
      <w:tr>
        <w:tc>
          <w:tcPr>
            <w:tcW w:type="dxa" w:w="8640"/>
          </w:tcPr>
          <w:p>
            <w:r>
              <w:t>{{BUDGET_AND_SCHEDULE}}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4. 기대 효과</w:t>
            </w:r>
          </w:p>
        </w:tc>
      </w:tr>
      <w:tr>
        <w:tc>
          <w:tcPr>
            <w:tcW w:type="dxa" w:w="8640"/>
          </w:tcPr>
          <w:p>
            <w:r>
              <w:t>{{EXPECTED_EFFECTS}}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