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점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이를 생성하는 분포의 타당성을 먼저 확인한다. 세 트랜스포머 모형은 자료, 분할, 학습 절차, 조기종료 규칙을 공유하며 기준선도 0.012175로 동일하다. 단, PatchTST 계열 대조군은 원 구조에 해당 개념이 없어 매크로와 정적 변수를 입력받지 못하며, 초매개변수는 제안 모형에 맞춘 값을 그대로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GPU에서 학습하고 한 장비에서 평가하였으며, 분위 GBDT는 적합에 난수 요소가 없어 한 번만 학습했다. 점 예측을 수행하는 원본 PatchTST는 표에서 제외했다. 세 분위의 예측값을 같은 값으로 채점하면 기준선보다 47.79% 나쁜 성능을 보이는데, 이는 구조 비교가 아닌 손실함수 차이에서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일관된 방향성을 보였다(구간별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구간은 동일 체크포인트에서 파생되어 독립 시행으로 합산하지 않는다. 검증구간의 격차는 핀볼 손실 기준 0.000046으로 기준선 대비 개선폭이 16%에 그쳐 대등하거나 근소하게 우수한 수준이다. 반면 조기종료와 최적 회차 선택에 영향을 받지 않는 시험구간에서는 격차가 0.000499로 벌어지며 다섯 시드의 범위가 겹치지 않는다(0.017739~0.017895 대 0.018205~0.018407). 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동일 표본의 날짜별 손실 계열에 Diebold-Mariano 검정[21](Newey-West 4시차[22], Harvey-Leybourne-Newbold 소표본 보정[23])을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약하기 때문이다. 분위수 출력층만 부착한 PatchTST는 검증구간 +0.07%, 시험구간 +0.36%로 상수 예측을 간신히 상회했으며, 다섯 시드 가운데 네 시드가 1회차에서 최적값에 도달했다. 시험구간에서 격차가 벌어지는 주된 이유는 학습 곡선의 차이에 있으며, TFT 원본은 다섯 시드 모두 1~2회차에서 최적값에 도달한 뒤 과적합으로 돌아선 반면 제안 모형의 최적 회차는 2~10회차에 분포했다. 세 모형을 모두 단정밀도로 맞추어 한 번씩 학습하면 격차는 줄어들지만 성능 순서는 유지된다. 중앙값만을 이용해 평균절대오차로 평가할 경우 제안 모형은 0.053439 ± 0.000142로 상수 기준선(0.053447)과 유사하고 TFT 원본은 0.053707로 오히려 나쁘므로, 핀볼 손실의 개선은 중앙값의 점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입력은 동적 30채널(당일 값 및 1·5·20일 시차), 매크로 13채널, 정적 범주형 3종을 합친 136개이며, 분위마다 모형을 두어 검증구간 손실을 기준으로 트리 수를 결정했다(75·25·275개). 검증구간 손실은 제안 모형과 유사했고(0.011890 대 0.011889), 시험구간 손실은 TFT 원본보다는 작고 제안 모형보다는 컸으며,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