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spacing w:after="396" w:before="0" w:line="364" w:lineRule="exact"/>
        <w:jc w:val="center"/>
      </w:pPr>
      <w:r>
        <w:rPr>
          <w:rFonts w:ascii="Times New Roman" w:hAnsi="Times New Roman" w:eastAsia="AppleMyungjo"/>
          <w:b w:val="0"/>
          <w:i w:val="0"/>
          <w:spacing w:val="-14"/>
          <w:w w:val="93"/>
          <w:sz w:val="28"/>
        </w:rPr>
        <w:t>A Lightweight Quantile Forecasting Model for Stock Returns with Abstention</w:t>
      </w:r>
    </w:p>
    <w:p>
      <w:pPr>
        <w:autoSpaceDE w:val="0"/>
        <w:autoSpaceDN w:val="0"/>
        <w:spacing w:after="454" w:before="0" w:line="260" w:lineRule="exact"/>
        <w:jc w:val="center"/>
      </w:pPr>
      <w:r>
        <w:rPr>
          <w:rFonts w:ascii="Times New Roman" w:hAnsi="Times New Roman" w:eastAsia="Apple SD Gothic Neo"/>
          <w:b w:val="0"/>
          <w:i w:val="0"/>
          <w:spacing w:val="0"/>
          <w:w w:val="94"/>
          <w:sz w:val="20"/>
        </w:rPr>
        <w:t>Seongjun Park†⋅Jimin Kim†⋅Ohjae Kwon†⋅Haeol Song†⋅Jeongil Seo††⋅Juhan Yoo†††</w:t>
      </w:r>
    </w:p>
    <w:p>
      <w:pPr>
        <w:autoSpaceDE w:val="0"/>
        <w:autoSpaceDN w:val="0"/>
        <w:spacing w:after="284" w:before="0" w:line="280" w:lineRule="exact"/>
        <w:jc w:val="center"/>
      </w:pPr>
      <w:r>
        <w:rPr>
          <w:rFonts w:ascii="Times New Roman" w:hAnsi="Times New Roman" w:eastAsia="Apple SD Gothic Neo"/>
          <w:b w:val="0"/>
          <w:i w:val="0"/>
          <w:spacing w:val="0"/>
          <w:w w:val="100"/>
          <w:sz w:val="21"/>
        </w:rPr>
        <w:t>ABSTRACT</w:t>
      </w:r>
    </w:p>
    <w:p>
      <w:pPr>
        <w:autoSpaceDE w:val="0"/>
        <w:autoSpaceDN w:val="0"/>
        <w:spacing w:after="0" w:before="0" w:line="210" w:lineRule="exact"/>
        <w:ind w:firstLine="200" w:left="350" w:right="350"/>
        <w:jc w:val="both"/>
      </w:pPr>
      <w:r>
        <w:rPr>
          <w:rFonts w:ascii="Times New Roman" w:hAnsi="Times New Roman" w:eastAsia="AppleMyungjo"/>
          <w:b w:val="0"/>
          <w:i w:val="0"/>
          <w:spacing w:val="-8"/>
          <w:w w:val="95"/>
          <w:sz w:val="15"/>
        </w:rPr>
        <w:t>A stock forecasting model works well in some periods and poorly in others. Most models report only a single predicted value, so they cannot tell the user whether the present moment is one they handle well. This paper proposes a model that identifies the moments it is unsure about and makes no prediction at those moments; not answering in this way is called abstention. The proposed model uses a light architecture and reports, instead of a single value, the range the future return is expected to fall in. When that range is among the widest 5% of the ranges seen over the past 90 days, the model withholds its decision. It was evaluated on daily data for 201 KOSPI 200 stocks since 2015. Withheld forecasts had 1.5 times the error of those acted on. Withholding concentrated in turbulent periods, reaching 20.07% there against 0.21% in the calmest periods. When the same share of forecasts was withheld by a simple rule that looks only at recent movement, the proposed criterion filtered out large errors better at all six shares tested, and this difference did not appear in a model to which only the range output had been added. The ranges were more accurate than those of the Temporal Fusion Transformer, and training was 3.8 times faster. The representative value the model reports, however, was no more accurate than a predictor that uses only the past distribution. What this study adds is not a more accurate forecast but a criterion for when not to act on one.</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Keywords : Stock Return Forecasting, Patch-Based Transformer, Quantile Regression, Forecast Uncertainty, Abstention</w:t>
      </w:r>
    </w:p>
    <w:p>
      <w:pPr>
        <w:autoSpaceDE w:val="0"/>
        <w:autoSpaceDN w:val="0"/>
        <w:spacing w:after="340" w:before="200" w:line="400" w:lineRule="exact"/>
        <w:jc w:val="center"/>
      </w:pPr>
      <w:r>
        <w:rPr>
          <w:rFonts w:ascii="Times New Roman" w:hAnsi="Times New Roman" w:eastAsia="AppleMyungjo"/>
          <w:b w:val="0"/>
          <w:i w:val="0"/>
          <w:spacing w:val="-16"/>
          <w:w w:val="96"/>
          <w:sz w:val="33"/>
        </w:rPr>
        <w:t>판단 보류가 가능한 경량 주가 수익률 분위 예측 모형</w:t>
      </w:r>
    </w:p>
    <w:p>
      <w:pPr>
        <w:autoSpaceDE w:val="0"/>
        <w:autoSpaceDN w:val="0"/>
        <w:spacing w:after="454" w:before="0" w:line="260" w:lineRule="exact"/>
        <w:jc w:val="center"/>
      </w:pPr>
      <w:r>
        <w:rPr>
          <w:rFonts w:ascii="Times New Roman" w:hAnsi="Times New Roman" w:eastAsia="Apple SD Gothic Neo"/>
          <w:b w:val="0"/>
          <w:i w:val="0"/>
          <w:spacing w:val="0"/>
          <w:w w:val="94"/>
          <w:sz w:val="20"/>
        </w:rPr>
        <w:t>박 성 준†⋅김 지 민†⋅권 오 재†⋅송 하 얼†⋅서 정 일††⋅유 주 한†††</w:t>
      </w:r>
    </w:p>
    <w:p>
      <w:pPr>
        <w:autoSpaceDE w:val="0"/>
        <w:autoSpaceDN w:val="0"/>
        <w:spacing w:after="284" w:before="0" w:line="280" w:lineRule="exact"/>
        <w:jc w:val="center"/>
      </w:pPr>
      <w:r>
        <w:rPr>
          <w:rFonts w:ascii="Times New Roman" w:hAnsi="Times New Roman" w:eastAsia="Apple SD Gothic Neo"/>
          <w:b w:val="0"/>
          <w:i w:val="0"/>
          <w:spacing w:val="0"/>
          <w:w w:val="100"/>
          <w:sz w:val="21"/>
        </w:rPr>
        <w:t>요     약</w:t>
      </w:r>
    </w:p>
    <w:p>
      <w:pPr>
        <w:autoSpaceDE w:val="0"/>
        <w:autoSpaceDN w:val="0"/>
        <w:spacing w:after="0" w:before="0" w:line="240" w:lineRule="exact"/>
        <w:ind w:firstLine="200" w:left="350" w:right="350"/>
        <w:jc w:val="both"/>
      </w:pPr>
      <w:r>
        <w:rPr>
          <w:rFonts w:ascii="Times New Roman" w:hAnsi="Times New Roman" w:eastAsia="AppleMyungjo"/>
          <w:b w:val="0"/>
          <w:i w:val="0"/>
          <w:spacing w:val="-8"/>
          <w:w w:val="98"/>
          <w:sz w:val="15"/>
        </w:rPr>
        <w:t>주가 예측 모형은 시기에 따라 잘 맞을 때와 그렇지 않을 때가 있다. 그런데 대부분의 모형은 예측값 하나만 내놓기 때문에, 지금이 그 예측을 믿어도 되는 때인지 알려주지 못한다. 본 논문은 모형이 확신하지 못하는 시점을 스스로 가려내고 그 시점에는 예측을 내놓지 않는 방법을 제안한다. 이렇게 답을 내지 않는 것을 판단 보류라고 한다. 제안 모형은 계산이 가벼운 구조를 쓰면서, 예측값 하나 대신 미래 수익률이 들어올 범위를 함께 내놓는다. 그 범위가 최근 90일 사이에 나온 범위 가운데 넓은 쪽 5%에 들면 판단을 보류한다. 2015년 이후 코스피200 구성종목 201개의 일별 자료로 평가하였다. 보류한 예측은 실행한 예측보다 오차가 1.5배 컸다. 보류는 시장이 크게 출렁인 시기에 몰려 그 구간에서 20.07%에 이른 반면, 잔잔한 시기에는 0.21%에 그쳤다. 같은 비율만큼 보류하도록 맞추고 최근 변동폭만 보고 보류하는 단순한 규칙과 견주었을 때에도, 여섯 가지 비율 모두에서 제안한 기준이 오차가 큰 예측을 더 잘 걸러냈다. 범위를 내놓는 기능만 덧붙인 모형에서는 이 차이가 나타나지 않았다. 범위의 정확도는 기존 대표 모형인 Temporal Fusion Transformer보다 높았고 학습은 3.8배 빨랐다. 다만 모형이 내놓는 대표 예측값 자체는 과거 분포만 쓰는 단순 예측기와 다르지 않았다. 이 연구가 더하는 것은 더 정확한 예측값이 아니라, 그 예측을 실행하지 말아야 할 시점을 골라내는 기준이다.</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키워드 : 주가 수익률 예측, 패치 기반 트랜스포머, 분위회귀, 예측 불확실성, 판단 보류</w:t>
      </w:r>
    </w:p>
    <w:p>
      <w:pPr>
        <w:framePr w:w="4592" w:hRule="auto" w:wrap="around" w:vSpace="160" w:vAnchor="margin" w:hAnchor="margin" w:xAlign="left" w:yAlign="bottom"/>
        <w:pBdr>
          <w:top w:val="single" w:sz="6" w:space="4" w:color="000000"/>
        </w:pBdr>
        <w:autoSpaceDE w:val="0"/>
        <w:autoSpaceDN w:val="0"/>
        <w:spacing w:after="20" w:before="0" w:line="168" w:lineRule="exact"/>
      </w:pPr>
      <w:r>
        <w:rPr>
          <w:rFonts w:ascii="Times New Roman" w:hAnsi="Times New Roman" w:eastAsia="AppleMyungjo"/>
          <w:b w:val="0"/>
          <w:i w:val="0"/>
          <w:spacing w:val="-7"/>
          <w:w w:val="95"/>
          <w:sz w:val="14"/>
        </w:rPr>
        <w:t>† 비 회 원 : 동아대학교 컴퓨터공학과 학부생</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 정 회 원 : 동아대학교 컴퓨터공학과 부교수</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 정 회 원 : 동아대학교 컴퓨터공학과 조교수</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Manuscript Received :</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First Revision :</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Accepted :</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 Corresponding Authors : Jeongil Seo(jeongilseo@dau.ac.kr), Juhan Yoo(unchinto@dau.ac.kr)</w:t>
      </w:r>
    </w:p>
    <w:p>
      <w:pPr>
        <w:sectPr>
          <w:pgSz w:w="11906" w:h="16838"/>
          <w:pgMar w:top="2013" w:right="1134" w:bottom="1446" w:left="1134" w:header="1446" w:footer="879" w:gutter="0"/>
          <w:docGrid w:linePitch="360"/>
          <w:cols w:num="1" w:space="453" w:equalWidth="1"/>
        </w:sectPr>
      </w:pPr>
    </w:p>
    <w:p>
      <w:pPr>
        <w:keepNext/>
        <w:autoSpaceDE w:val="0"/>
        <w:autoSpaceDN w:val="0"/>
        <w:spacing w:after="280" w:before="360" w:line="310" w:lineRule="exact"/>
      </w:pPr>
      <w:r>
        <w:rPr>
          <w:rFonts w:ascii="Times New Roman" w:hAnsi="Times New Roman" w:eastAsia="Apple SD Gothic Neo"/>
          <w:b/>
          <w:i w:val="0"/>
          <w:spacing w:val="0"/>
          <w:w w:val="97"/>
          <w:sz w:val="20"/>
        </w:rPr>
        <w:t>1. 서  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주가 예측 모형은 과거의 가격과 거래 자료에서 규칙을 찾아 미래의 수익률을 추정한다. 그러나 주식 시장은 시기에 따라 움직이는 방식이 달라진다. 한동안 들어맞던 규칙이 다음 시기에는 들어맞지 않는다. 그러므로 어떤 예측 모형도 모든 시점에서 같은 정확도를 유지하지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문제는 모형이 언제 틀릴지를 사용자에게 알려주지 않는다는 데 있다. 대부분의 예측 모형은 미래 값을 하나의 수치로 내놓는다. 이러한 방식을 점 예측(point forecast)이라고 한다. 점 예측은 값 하나만 제시하므로, 사용자는 그 값이 모형이 잘 맞히는 시점에서 나온 것인지 판단할 수 없다. 투자에서는 틀린 예측을 실행했을 때의 손실이 크기 때문에, 이 결함은 정확도가 조금 낮은 것보다 더 큰 문제가 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따라서 예측 모형은 자신이 확신하지 못하는 시점을 스스로 가려내고, 그 시점에는 예측을 내놓지 않을 수 있어야 한다. 모형이 일부 시점에 대하여 답을 내지 않는 것을 판단 보류(abstention)라고 한다. 본 연구는 주가 예측에서 판단 보류를 수행하는 모형을 다룬다.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보류를 하려면 모형이 자신의 불확실성을 수치로 내놓아야 한다. 본 연구는 그 수치를 예측 분포에서 얻는다. 모형이 값 하나 대신 여러 개의 분위수(quantile)를 출력하도록 하면 된다. 분위수는 실제 값이 그보다 작을 확률이 정해진 수준이 되는 값이다. 예를 들어 모형이 하위 10% 분위수와 상위 10% 분위수를 함께 출력하면, 두 값 사이의 구간이 미래 수익률이 놓일 범위가 된다. 이 구간이 넓다는 것은 모형이 그 시점의 결과를 좁게 특정하지 못한다는 뜻이다. 본 연구는 구간이 평소보다 넓은 시점에서 판단을 보류한다.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기존 연구에는 이 두 가지가 함께 갖추어져 있지 않다. 예측 분포를 산출하는 모형은 이미 제안되어 있다. Temporal Fusion Transformer(TFT)는 여러 분위수를 동시에 출력한다. 그러나 TFT는 입력 기간의 모든 시점을 서로 비교하는 연산을 수행하므로 학습에 드는 시간과 메모리가 크다. 반대로 연산량을 줄이도록 설계된 최근의 시계열 예측 모형들은 예측값을 하나만 내놓는다. 이 모형들은 판단 보류의 근거가 되는 구간을 제공하지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연산량이 적은 예측 모형이 여러 분위수를 함께 출력하도록 바꾸고, 그 출력에서 판단 보류 규칙을 정의하였다. 코스피200 구성종목 201개의 2015년 이후 일별 자료로 이 모형을 평가하였다. 본 연구의 기여는 세 가지이다. 첫째, 예측 구간의 폭을 기준으로 판단을 보류하면 오차가 큰 예측이 걸러진다. 보류한 예측의 오차는 실행한 예측의 약 1.5배였다. 이 결과는 보류 비율을 같게 맞춘 상태에서 최근 변동성만 보고 보류하는 규칙과 비교하여 얻었다. 둘째, 이 성질은 분위수 출력을 붙이는 것만으로는 생기지 않는다. 분위수 출력만 추가한 모형은 같은 비교에서 변동성 규칙을 넘어서지 못하였다. 셋째, 제안 모형의 중앙값 예측은 상수 기준선보다 정확하지 않았다. 본 연구의 기여는 예측값의 정확도 향상이 아니다. 예측을 실행하지 말아야 할 시점을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 논문의 구성은 다음과 같다. 2장에서는 판단 보류에 필요한 요소를 기준으로 기존 연구를 정리한다. 3장에서는 제안하는 모형과 판단 보류 규칙을 설명한다. 4장에서는 실험에 사용한 자료를, 5장에서는 실험 결과를 제시한다. 6장에서 결론을 내리고, 7장에서 후속 연구를 밝힌다.</w:t>
      </w:r>
    </w:p>
    <w:p>
      <w:pPr>
        <w:keepNext/>
        <w:autoSpaceDE w:val="0"/>
        <w:autoSpaceDN w:val="0"/>
        <w:spacing w:after="280" w:before="360" w:line="310" w:lineRule="exact"/>
      </w:pPr>
      <w:r>
        <w:rPr>
          <w:rFonts w:ascii="Times New Roman" w:hAnsi="Times New Roman" w:eastAsia="Apple SD Gothic Neo"/>
          <w:b/>
          <w:i w:val="0"/>
          <w:spacing w:val="0"/>
          <w:w w:val="97"/>
          <w:sz w:val="20"/>
        </w:rPr>
        <w:t>2. 관련 연구</w:t>
      </w:r>
    </w:p>
    <w:p>
      <w:pPr>
        <w:keepNext/>
        <w:autoSpaceDE w:val="0"/>
        <w:autoSpaceDN w:val="0"/>
        <w:spacing w:after="20" w:before="0" w:line="280" w:lineRule="exact"/>
      </w:pPr>
      <w:r>
        <w:rPr>
          <w:rFonts w:ascii="Times New Roman" w:hAnsi="Times New Roman" w:eastAsia="Apple SD Gothic Neo"/>
          <w:b/>
          <w:i w:val="0"/>
          <w:spacing w:val="-9"/>
          <w:w w:val="95"/>
          <w:sz w:val="18"/>
        </w:rPr>
        <w:t>2.1 주가 예측에 쓰인 딥러닝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금융 시계열에 딥러닝을 적용한 연구는 순환신경망과 합성곱신경망을 중심으로 축적되었다[1]. 장단기기억 신경망으로 미국 주식의 등락 방향을 예측한 연구[17], 여러 기계학습 기법을 자산가격 결정에 적용한 연구[18]가 대표적이다. 국내에서는 해외지수와 투자자별 매매 동향을 입력으로 삼은 등락 예측[2], 가중 손실 함수를 적용한 순환 합성곱 구조[19]가 보고되었다. 이 연구들은 입력 변수와 신경망 구조를 바꾸어 정확도를 높이는 데 집중하였고, 출력은 모두 점 예측이다. 따라서 모형이 어느 시점에서 확신하지 못하는지를 사용자가 알 수 없고, 1장에서 제기한 판단 보류도 정의되지 않는다.</w:t>
      </w:r>
    </w:p>
    <w:p>
      <w:pPr>
        <w:keepNext/>
        <w:autoSpaceDE w:val="0"/>
        <w:autoSpaceDN w:val="0"/>
        <w:spacing w:after="20" w:before="0" w:line="280" w:lineRule="exact"/>
      </w:pPr>
      <w:r>
        <w:rPr>
          <w:rFonts w:ascii="Times New Roman" w:hAnsi="Times New Roman" w:eastAsia="Apple SD Gothic Neo"/>
          <w:b/>
          <w:i w:val="0"/>
          <w:spacing w:val="-9"/>
          <w:w w:val="95"/>
          <w:sz w:val="18"/>
        </w:rPr>
        <w:t>2.2 예측 분포를 내는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값 하나 대신 여러 분위수를 추정하는 방법은 분위회귀[12]에서 시작되었다. Temporal Fusion Transformer(TFT)[8]는 이를 딥러닝에 적용하여, 입력 변수의 중요도를 학습하는 장치와 시점별 어텐션을 결합하고 여러 분위수를 동시에 출력한다. 국내에서도 TFT를 여러 시점 앞 예측에 적용한 연구[9], 예측 구간 전체를 한 번에 생성하도록 트랜스포머를 변형한 연구[10]가 있다. 이 계열은 판단 보류에 필요한 예측 구간을 제공한다. 단점은 연산량이다. TFT는 입력 기간의 모든 시점을 서로 비교하므로 학습 시간과 메모리가 입력 길이에 민감하다. 분위수 예측이 명목 확률을 지키는지는 별도의 문제이며, 사후에 구간을 교정하는 방법이 제안되어 있다[13].</w:t>
      </w:r>
    </w:p>
    <w:p>
      <w:pPr>
        <w:keepNext/>
        <w:autoSpaceDE w:val="0"/>
        <w:autoSpaceDN w:val="0"/>
        <w:spacing w:after="20" w:before="0" w:line="280" w:lineRule="exact"/>
      </w:pPr>
      <w:r>
        <w:rPr>
          <w:rFonts w:ascii="Times New Roman" w:hAnsi="Times New Roman" w:eastAsia="Apple SD Gothic Neo"/>
          <w:b/>
          <w:i w:val="0"/>
          <w:spacing w:val="-9"/>
          <w:w w:val="95"/>
          <w:sz w:val="18"/>
        </w:rPr>
        <w:t>2.3 연산량을 줄인 시계열 트랜스포머</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트랜스포머[3]는 모든 시점 쌍을 비교하므로 연산량이 입력 길이의 제곱에 비례한다. 이를 줄이려고 어텐션 대상을 일부만 고르는 구조[4]와 계열을 추세와 주기로 나누는 구조[5]가 제안되었으나, 단순한 선형 모형이 이들을 앞선다는 보고[6]도 있다. PatchTST[7]는 시계열을 시점이 아니라 일정 길이의 구간 단위로 묶어 하나의 토큰으로 만든다. 비교 대상이 줄어 연산량이 감소하고, 변수마다 따로 처리하여 변수 수에 선형으로 확장된다. 이 계열의 단점은 출력이 점 예측 하나라는 것이며, 판단 보류의 근거가 되는 구간이 나오지 않는다.</w:t>
      </w:r>
    </w:p>
    <w:p>
      <w:pPr>
        <w:keepNext/>
        <w:autoSpaceDE w:val="0"/>
        <w:autoSpaceDN w:val="0"/>
        <w:spacing w:after="20" w:before="0" w:line="280" w:lineRule="exact"/>
      </w:pPr>
      <w:r>
        <w:rPr>
          <w:rFonts w:ascii="Times New Roman" w:hAnsi="Times New Roman" w:eastAsia="Apple SD Gothic Neo"/>
          <w:b/>
          <w:i w:val="0"/>
          <w:spacing w:val="-9"/>
          <w:w w:val="95"/>
          <w:sz w:val="18"/>
        </w:rPr>
        <w:t>2.4 판단 보류를 다룬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모형이 일부 입력에 답을 내지 않는 선택지는 기각 옵션(reject option)으로 형식화되어 있다[14]. 오답 비용과 기각 비용의 교환관계로 최적 기각 영역을 정의한 이 틀은 선택적 예측(selective prediction)으로 일반화되어, 답을 낸 비율과 그 표본에서의 오차를 함께 보고하는 평가 방식으로 자리잡았다[15]. 심층 신경망에서는 이미 학습된 모형의 신뢰도 점수로 기각 영역을 정하는 방법이 제안되었다[16]. 이 연구들은 분류 문제를 대상으로 하고 선택 기준으로 예측 확률을 쓴다. 회귀 문제에는 그 확률이 없어 같은 방법을 그대로 적용할 수 없다.</w:t>
      </w:r>
    </w:p>
    <w:p>
      <w:pPr>
        <w:keepNext/>
        <w:autoSpaceDE w:val="0"/>
        <w:autoSpaceDN w:val="0"/>
        <w:spacing w:after="20" w:before="0" w:line="280" w:lineRule="exact"/>
      </w:pPr>
      <w:r>
        <w:rPr>
          <w:rFonts w:ascii="Times New Roman" w:hAnsi="Times New Roman" w:eastAsia="Apple SD Gothic Neo"/>
          <w:b/>
          <w:i w:val="0"/>
          <w:spacing w:val="-9"/>
          <w:w w:val="95"/>
          <w:sz w:val="18"/>
        </w:rPr>
        <w:t>2.5 본 연구의 위치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앞의 세 계열에는 각각 하나가 빠져 있다. 주가 예측 연구는 점 예측만 내고, 분포를 내는 모형은 연산량이 크며, 연산량이 적은 모형은 분포를 내지 않는다. 선택적 예측은 보류의 틀을 주지만 분류를 전제한다. 본 연구는 구간 단위로 토큰을 만드는 가벼운 구조에 여러 분위수를 내는 출력층을 붙이고, 예측 구간의 폭을 기준으로 회귀에서 판단 보류를 정의한다. 폭은 이미 산출된 분위수에서 바로 얻으므로 보류에 추가 학습이나 추가 연산이 들지 않는다. 한편 잘 조정된 단순 기준모형과 비교하지 않으면 개선폭이 과장되기 쉽다는 지적이 예측 문헌에서 반복되어 왔으므로[20], 같은 조건의 그래디언트 부스팅 결정트리(gradient boosting decision tree, GBDT) 기준모형을 함께 측정하여 5장에 보고한다.</w:t>
      </w:r>
    </w:p>
    <w:p>
      <w:pPr>
        <w:keepNext/>
        <w:autoSpaceDE w:val="0"/>
        <w:autoSpaceDN w:val="0"/>
        <w:spacing w:after="280" w:before="360" w:line="310" w:lineRule="exact"/>
      </w:pPr>
      <w:r>
        <w:rPr>
          <w:rFonts w:ascii="Times New Roman" w:hAnsi="Times New Roman" w:eastAsia="Apple SD Gothic Neo"/>
          <w:b/>
          <w:i w:val="0"/>
          <w:spacing w:val="0"/>
          <w:w w:val="97"/>
          <w:sz w:val="20"/>
        </w:rPr>
        <w:t>3. 제안하는 방법</w:t>
      </w:r>
    </w:p>
    <w:p>
      <w:pPr>
        <w:keepNext/>
        <w:autoSpaceDE w:val="0"/>
        <w:autoSpaceDN w:val="0"/>
        <w:spacing w:after="20" w:before="0" w:line="280" w:lineRule="exact"/>
      </w:pPr>
      <w:r>
        <w:rPr>
          <w:rFonts w:ascii="Times New Roman" w:hAnsi="Times New Roman" w:eastAsia="Apple SD Gothic Neo"/>
          <w:b/>
          <w:i w:val="0"/>
          <w:spacing w:val="-9"/>
          <w:w w:val="95"/>
          <w:sz w:val="18"/>
        </w:rPr>
        <w:t>3.1 설계 요구사항</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1&gt;은 1장에서 밝힌 요구사항과 그것을 충족하기 위해 고른 구성요소를 정리한 것이다.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1. Requirements and corresponding components</w:t>
      </w:r>
    </w:p>
    <w:tbl>
      <w:tblPr>
        <w:jc w:val="center"/>
        <w:tblLook w:firstColumn="1" w:firstRow="1" w:lastColumn="0" w:lastRow="0" w:noHBand="0" w:noVBand="1" w:val="04A0"/>
        <w:tblW w:w="4507" w:type="dxa"/>
        <w:tblLayout w:type="fixed"/>
        <w:tblCellMar>
          <w:left w:w="40" w:type="dxa"/>
          <w:right w:w="40" w:type="dxa"/>
        </w:tblCellMar>
      </w:tblPr>
      <w:tblGrid>
        <w:gridCol w:w="1502"/>
        <w:gridCol w:w="1502"/>
        <w:gridCol w:w="1502"/>
      </w:tblGrid>
      <w:tr>
        <w:trPr>
          <w:cantSplit/>
        </w:trPr>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Requirement</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Required property</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Part chosen</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Abstention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predicted distribution, not a single value</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output layer, pinball loss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Scale differs by stock and era</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 that assumes no fixed price level</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with channel exceptions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Local equities track global macro</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way to inject an exogenous series</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cross-attention (design option, Sec. 5.4)</w:t>
            </w:r>
          </w:p>
        </w:tc>
      </w:tr>
      <w:tr>
        <w:trPr>
          <w:cantSplit/>
        </w:trPr>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A limited compute budget</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Fewer tokens, and one encoder pass over the channels</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Patch tokenization (120 to 24), channel reduction before the encoder (Sec. 5.4)</w:t>
            </w:r>
          </w:p>
        </w:tc>
      </w:tr>
    </w:tbl>
    <w:p>
      <w:pPr>
        <w:spacing w:after="80"/>
      </w:pPr>
    </w:p>
    <w:p>
      <w:pPr>
        <w:keepNext/>
        <w:autoSpaceDE w:val="0"/>
        <w:autoSpaceDN w:val="0"/>
        <w:spacing w:after="20" w:before="0" w:line="280" w:lineRule="exact"/>
      </w:pPr>
      <w:r>
        <w:rPr>
          <w:rFonts w:ascii="Times New Roman" w:hAnsi="Times New Roman" w:eastAsia="Apple SD Gothic Neo"/>
          <w:b/>
          <w:i w:val="0"/>
          <w:spacing w:val="-9"/>
          <w:w w:val="95"/>
          <w:sz w:val="18"/>
        </w:rPr>
        <w:t>3.2 전체 구조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모형의 전체 구조는 (Fig. 1)과 같다. 입력은 세 갈래다. 첫째는 종목마다 매일 계산되는 지표 30개를 120일치 모은 것이다. 둘째는 시장 전체를 나타내는 지표 13개의 같은 기간 계열이다. 셋째는 섹터, 시가총액 구간, 요일처럼 한 번 정해지면 윈도우 안에서 바뀌지 않는 값 3종이다. 셋째 입력은 문맥 벡터로 바뀌어 앞의 두 경로가 어떤 변수에 비중을 둘지를 조건화한다. 예측에는 가장 최근 구간의 표현만 쓴다.</w:t>
      </w:r>
    </w:p>
    <w:p>
      <w:pPr>
        <w:sectPr>
          <w:type w:val="continuous"/>
          <w:pgSz w:w="11906" w:h="16838"/>
          <w:pgMar w:top="2013" w:right="1134" w:bottom="1446" w:left="1134" w:header="1446" w:footer="879" w:gutter="0"/>
          <w:docGrid w:linePitch="360"/>
          <w:cols w:num="2" w:space="453" w:equalWidth="1"/>
        </w:sectPr>
      </w:pPr>
    </w:p>
    <w:p>
      <w:pPr>
        <w:spacing w:after="40"/>
        <w:jc w:val="center"/>
      </w:pPr>
      <w:r>
        <w:drawing>
          <wp:inline xmlns:a="http://schemas.openxmlformats.org/drawingml/2006/main" xmlns:pic="http://schemas.openxmlformats.org/drawingml/2006/picture">
            <wp:extent cx="3780000" cy="286125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3780000" cy="2861250"/>
                    </a:xfrm>
                    <a:prstGeom prst="rect"/>
                  </pic:spPr>
                </pic:pic>
              </a:graphicData>
            </a:graphic>
          </wp:inline>
        </w:drawing>
      </w:r>
    </w:p>
    <w:p>
      <w:pPr>
        <w:autoSpaceDE w:val="0"/>
        <w:autoSpaceDN w:val="0"/>
        <w:spacing w:after="160" w:before="0" w:line="220" w:lineRule="exact"/>
        <w:jc w:val="left"/>
      </w:pPr>
      <w:r>
        <w:rPr>
          <w:rFonts w:ascii="Times New Roman" w:hAnsi="Times New Roman" w:eastAsia="Apple SD Gothic Neo"/>
          <w:b w:val="0"/>
          <w:i w:val="0"/>
          <w:spacing w:val="-8"/>
          <w:w w:val="95"/>
          <w:sz w:val="17"/>
        </w:rPr>
        <w:t>Fig. 1. Architecture of the proposed model (a) with component detail (b-e). Colors in (a) mark the PatchTST lineage (yellow), the TFT components (blue), the macro cross-attention added in this work (teal) and the static context path (orange). The variable selection network and the cross-attention are design options; removing either did not change the results (Sec. 5.4). Panels (b)-(d) are adapted from [3] and [8].</w:t>
      </w: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입력은 윈도우마다 정규화한다. 각 윈도우의 통계로 입력을 표준화하고 출력에서 되돌리는 방식이며[11], 종목과 시대에 따라 가격 수준의 의미가 달라지는 자료에서는 필수적이다. 다만 횡단면 순위 채널에는 적용하지 않았다. 이 채널은 정보가 값의 수준 자체에 담겨 있어, 윈도우 안에서 표준화하면 그 정보가 사라진다.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모형의 출력은 세 개의 분위수다. 분위수를 학습시키는 손실은 분위회귀[12]에서 온 핀볼 손실이며, 분위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에 대하여 식 (1)과 같이 정의된다.</w:t>
      </w:r>
    </w:p>
    <w:p>
      <w:pPr>
        <w:autoSpaceDE w:val="0"/>
        <w:autoSpaceDN w:val="0"/>
        <w:spacing w:after="80" w:before="0" w:line="280" w:lineRule="exact"/>
        <w:jc w:val="center"/>
      </w:pPr>
      <w:r>
        <w:rPr>
          <w:rFonts w:ascii="Times New Roman" w:hAnsi="Times New Roman" w:eastAsia="AppleMyungjo"/>
          <w:b w:val="0"/>
          <w:i w:val="0"/>
          <w:spacing w:val="-5"/>
          <w:w w:val="100"/>
          <w:sz w:val="18"/>
        </w:rPr>
        <w:t>L(</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xml:space="preserve">) = max[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− 1)(</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    (1)</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본 연구는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{0.1, 0.5, 0.9}를 동시에 학습한다. 세 값이 한 번의 계산으로 나오므로 불확실성을 따로 추정하기 위한 추가 연산이 필요하지 않다. 사후 교정을 적용한 결과는 6장에 밝힌다.</w:t>
      </w:r>
    </w:p>
    <w:p>
      <w:pPr>
        <w:keepNext/>
        <w:autoSpaceDE w:val="0"/>
        <w:autoSpaceDN w:val="0"/>
        <w:spacing w:after="20" w:before="0" w:line="280" w:lineRule="exact"/>
      </w:pPr>
      <w:r>
        <w:rPr>
          <w:rFonts w:ascii="Times New Roman" w:hAnsi="Times New Roman" w:eastAsia="Apple SD Gothic Neo"/>
          <w:b/>
          <w:i w:val="0"/>
          <w:spacing w:val="-9"/>
          <w:w w:val="95"/>
          <w:sz w:val="18"/>
        </w:rPr>
        <w:t>3.3 설계 선택</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아래 1)과 2)는 구조의 필수 요소가 아니라 비교 검토한 설계 선택지이며, 각각의 기여는 5.4절의 제거 실험으로 확인한다. 3)은 보류 규칙이 의존하는 구조적 요건이다.</w:t>
      </w:r>
    </w:p>
    <w:p>
      <w:pPr>
        <w:autoSpaceDE w:val="0"/>
        <w:autoSpaceDN w:val="0"/>
        <w:spacing w:after="60" w:before="0" w:line="280" w:lineRule="exact"/>
      </w:pPr>
      <w:r>
        <w:rPr>
          <w:rFonts w:ascii="Times New Roman" w:hAnsi="Times New Roman" w:eastAsia="AppleMyungjo"/>
          <w:b w:val="0"/>
          <w:i w:val="0"/>
          <w:spacing w:val="-5"/>
          <w:w w:val="100"/>
          <w:sz w:val="18"/>
        </w:rPr>
        <w:t>1) 변수선택망의 역할과 배치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구간 단위로 토큰을 만들면 채널마다 24개의 토큰이 생긴다. 이 채널 축을 하나로 줄여야 인코더를 한 번만 실행할 수 있다. 매크로 경로에는 채널을 선형 변환으로 합쳤고, 종목 채널에는 채널별 가중치를 학습하는 변수선택망을 두었다. 가중치가 정적 문맥에 따라 달라져 섹터와 시가총액 구간별로 다른 비중을 줄 수 있기 때문이다(식 2, 3).</w:t>
      </w:r>
    </w:p>
    <w:p>
      <w:pPr>
        <w:autoSpaceDE w:val="0"/>
        <w:autoSpaceDN w:val="0"/>
        <w:spacing w:after="80" w:before="0" w:line="280" w:lineRule="exact"/>
        <w:jc w:val="center"/>
      </w:pP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softmax( GRN( [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 xml:space="preserve"> ] ) ) ∈ ℝ</w:t>
      </w:r>
      <w:r>
        <w:rPr>
          <w:rFonts w:ascii="Times New Roman" w:hAnsi="Times New Roman" w:eastAsia="AppleMyungjo"/>
          <w:b w:val="0"/>
          <w:i/>
          <w:spacing w:val="-5"/>
          <w:w w:val="100"/>
          <w:sz w:val="18"/>
          <w:vertAlign w:val="superscript"/>
        </w:rPr>
        <w:t>C</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 1, …,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(2)</w:t>
      </w:r>
    </w:p>
    <w:p>
      <w:pPr>
        <w:autoSpaceDE w:val="0"/>
        <w:autoSpaceDN w:val="0"/>
        <w:spacing w:after="80" w:before="0" w:line="280" w:lineRule="exact"/>
        <w:jc w:val="center"/>
      </w:pPr>
      <w:r>
        <w:rPr>
          <w:rFonts w:ascii="Times New Roman" w:hAnsi="Times New Roman" w:eastAsia="AppleMyungjo"/>
          <w:b w:val="0"/>
          <w:i/>
          <w:spacing w:val="-5"/>
          <w:w w:val="100"/>
          <w:sz w:val="18"/>
        </w:rPr>
        <w:t>Z</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 · GRN</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(3)</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C</w:t>
      </w:r>
      <w:r>
        <w:rPr>
          <w:rFonts w:ascii="Times New Roman" w:hAnsi="Times New Roman" w:eastAsia="AppleMyungjo"/>
          <w:b w:val="0"/>
          <w:i w:val="0"/>
          <w:spacing w:val="-5"/>
          <w:w w:val="100"/>
          <w:sz w:val="18"/>
        </w:rPr>
        <w:t xml:space="preserve">는 채널 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은 패치 수, </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는 패치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·채널 </w:t>
      </w:r>
      <w:r>
        <w:rPr>
          <w:rFonts w:ascii="Times New Roman" w:hAnsi="Times New Roman" w:eastAsia="AppleMyungjo"/>
          <w:b w:val="0"/>
          <w:i/>
          <w:spacing w:val="-5"/>
          <w:w w:val="100"/>
          <w:sz w:val="18"/>
        </w:rPr>
        <w:t>i</w:t>
      </w:r>
      <w:r>
        <w:rPr>
          <w:rFonts w:ascii="Times New Roman" w:hAnsi="Times New Roman" w:eastAsia="AppleMyungjo"/>
          <w:b w:val="0"/>
          <w:i w:val="0"/>
          <w:spacing w:val="-5"/>
          <w:w w:val="100"/>
          <w:sz w:val="18"/>
        </w:rPr>
        <w:t>의 임베딩이고,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)은 그 패치의 모든 채널 임베딩을 이어 붙인 벡터,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는 정적 임베딩에서 얻은 문맥 벡터, GRN은 TFT의 게이트 잔차 신경망이다.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변수선택망을 인코더 뒤에 두면 인코더가 채널 수만큼 반복되지만, 앞에 두면 채널이 먼저 하나로 합쳐져 한 번만 실행된다. 다만 종목 채널까지 선형 합치기로 바꾼 변형도 정확도와 보류 행태가 같았다(5.4절). 연산을 줄이는 것은 인코더 앞의 채널 축약 자체이며, 학습된 가중치가 정확도를 더하지는 않았다.</w:t>
      </w:r>
    </w:p>
    <w:p>
      <w:pPr>
        <w:autoSpaceDE w:val="0"/>
        <w:autoSpaceDN w:val="0"/>
        <w:spacing w:after="60" w:before="0" w:line="280" w:lineRule="exact"/>
      </w:pPr>
      <w:r>
        <w:rPr>
          <w:rFonts w:ascii="Times New Roman" w:hAnsi="Times New Roman" w:eastAsia="AppleMyungjo"/>
          <w:b w:val="0"/>
          <w:i w:val="0"/>
          <w:spacing w:val="-5"/>
          <w:w w:val="100"/>
          <w:sz w:val="18"/>
        </w:rPr>
        <w:t>2) 매크로 크로스어텐션의 방향</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매크로 지표는 크로스어텐션으로 종목 표현에 주입한다. 종목 표현을 질의로, 매크로 부호화를 키와 값으로 둔다. 방향을 반대로 두면 출력이 매크로 시퀀스의 형상을 따라 종목별 예측이 나오지 않는다. 외생 변수를 어텐션으로 주입하는 발상은 TimeXer[21]에도 있으며, 본 연구는 매크로를 패치 단위로 유지한다는 점이 다르다. 매크로 경로는 13채널을 하나로 합치는 선형 변환으로 처리하였다. 이 모듈의 정확도 기여는 5.4절의 제거 실험에서 확인되지 않았다.</w:t>
      </w:r>
    </w:p>
    <w:p>
      <w:pPr>
        <w:autoSpaceDE w:val="0"/>
        <w:autoSpaceDN w:val="0"/>
        <w:spacing w:after="60" w:before="0" w:line="280" w:lineRule="exact"/>
      </w:pPr>
      <w:r>
        <w:rPr>
          <w:rFonts w:ascii="Times New Roman" w:hAnsi="Times New Roman" w:eastAsia="AppleMyungjo"/>
          <w:b w:val="0"/>
          <w:i w:val="0"/>
          <w:spacing w:val="-5"/>
          <w:w w:val="100"/>
          <w:sz w:val="18"/>
        </w:rPr>
        <w:t>3) 분위 단조성의 구조적 보장과 출력층 초기화</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 교차를 손실 벌점이 아니라 누적 소프트플러스 구조로 원천 차단하였다(식 4).</w:t>
      </w:r>
    </w:p>
    <w:p>
      <w:pPr>
        <w:autoSpaceDE w:val="0"/>
        <w:autoSpaceDN w:val="0"/>
        <w:spacing w:after="80" w:before="0" w:line="280" w:lineRule="exact"/>
        <w:jc w:val="center"/>
      </w:pP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90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    (4)</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와 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는 출력층 마지막 선형층의 세 출력이다. 교차가 발생하면 보류 폭이 음수가 되어 하위 규칙 전체가 무효화되므로 구조적 보장이 필요하다. 5.1절의 세 트랜스포머 모형 모두 실측 교차율은 0.000이었다.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출력층의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keepNext/>
        <w:autoSpaceDE w:val="0"/>
        <w:autoSpaceDN w:val="0"/>
        <w:spacing w:after="20" w:before="0" w:line="280" w:lineRule="exact"/>
      </w:pPr>
      <w:r>
        <w:rPr>
          <w:rFonts w:ascii="Times New Roman" w:hAnsi="Times New Roman" w:eastAsia="Apple SD Gothic Neo"/>
          <w:b/>
          <w:i w:val="0"/>
          <w:spacing w:val="-9"/>
          <w:w w:val="95"/>
          <w:sz w:val="18"/>
        </w:rPr>
        <w:t>3.4 판단 보류 규칙</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비교하는 모든 모형에 같은 규칙을 적용한다. 예측 구간의 폭이 최근 분포의 95분위를 넘으면 그 시점의 판단을 보류한다. 여기서 최근 분포는 판단일로부터 거슬러 달력 90일, 거래일로는 약 60일 안에 나온 폭을 모은 것이며, 종목별로 나누지 않고 전 종목을 합쳐 만든다. 구간 전체의 폭 분포를 쓰면 뒤쪽 날짜의 폭이 앞쪽 날짜의 판단에 흘러들어 미래 정보가 섞인다. 임계값으로 95분위를 고른 근거와 다른 값으로 바꿨을 때의 영향은 5.3절에서 다룬다.</w:t>
      </w:r>
    </w:p>
    <w:p>
      <w:pPr>
        <w:keepNext/>
        <w:autoSpaceDE w:val="0"/>
        <w:autoSpaceDN w:val="0"/>
        <w:spacing w:after="20" w:before="0" w:line="280" w:lineRule="exact"/>
      </w:pPr>
      <w:r>
        <w:rPr>
          <w:rFonts w:ascii="Times New Roman" w:hAnsi="Times New Roman" w:eastAsia="Apple SD Gothic Neo"/>
          <w:b/>
          <w:i w:val="0"/>
          <w:spacing w:val="-9"/>
          <w:w w:val="95"/>
          <w:sz w:val="18"/>
        </w:rPr>
        <w:t>3.5 최종 설정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2&gt;는 이후 모든 실험에 사용한 설정이다. 정규화는 3.2절에서 기술한 방식을 따른다.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2. Final model configuration</w:t>
      </w:r>
    </w:p>
    <w:tbl>
      <w:tblPr>
        <w:jc w:val="center"/>
        <w:tblLook w:firstColumn="1" w:firstRow="1" w:lastColumn="0" w:lastRow="0" w:noHBand="0" w:noVBand="1" w:val="04A0"/>
        <w:tblW w:w="4507" w:type="dxa"/>
        <w:tblLayout w:type="fixed"/>
        <w:tblCellMar>
          <w:left w:w="40" w:type="dxa"/>
          <w:right w:w="40" w:type="dxa"/>
        </w:tblCellMar>
      </w:tblPr>
      <w:tblGrid>
        <w:gridCol w:w="2253"/>
        <w:gridCol w:w="2253"/>
      </w:tblGrid>
      <w:tr>
        <w:trPr>
          <w:cantSplit/>
        </w:trPr>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Item</w:t>
            </w:r>
          </w:p>
        </w:tc>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Value</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Lookback / patch / stride</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120 / 5 / 5, giving 24 tokens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d_model / heads / layers / d_ff / dropout</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32 / 2 / 1 / 64 / 0.5</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0.1, 0.5, 0.9</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 macro / static inputs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 channels / 13 channels / 3 categoricals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applied selectively by channel</w:t>
            </w:r>
          </w:p>
        </w:tc>
      </w:tr>
      <w:tr>
        <w:trPr>
          <w:cantSplit/>
        </w:trPr>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Parameters</w:t>
            </w:r>
          </w:p>
        </w:tc>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0.50M</w:t>
            </w:r>
          </w:p>
        </w:tc>
      </w:tr>
    </w:tbl>
    <w:p>
      <w:pPr>
        <w:spacing w:after="80"/>
      </w:pPr>
    </w:p>
    <w:p>
      <w:pPr>
        <w:keepNext/>
        <w:autoSpaceDE w:val="0"/>
        <w:autoSpaceDN w:val="0"/>
        <w:spacing w:after="280" w:before="360" w:line="310" w:lineRule="exact"/>
      </w:pPr>
      <w:r>
        <w:rPr>
          <w:rFonts w:ascii="Times New Roman" w:hAnsi="Times New Roman" w:eastAsia="Apple SD Gothic Neo"/>
          <w:b/>
          <w:i w:val="0"/>
          <w:spacing w:val="0"/>
          <w:w w:val="97"/>
          <w:sz w:val="20"/>
        </w:rPr>
        <w:t>4. 데이터셋</w:t>
      </w:r>
    </w:p>
    <w:p>
      <w:pPr>
        <w:keepNext/>
        <w:autoSpaceDE w:val="0"/>
        <w:autoSpaceDN w:val="0"/>
        <w:spacing w:after="20" w:before="0" w:line="280" w:lineRule="exact"/>
      </w:pPr>
      <w:r>
        <w:rPr>
          <w:rFonts w:ascii="Times New Roman" w:hAnsi="Times New Roman" w:eastAsia="Apple SD Gothic Neo"/>
          <w:b/>
          <w:i w:val="0"/>
          <w:spacing w:val="-9"/>
          <w:w w:val="95"/>
          <w:sz w:val="18"/>
        </w:rPr>
        <w:t>4.1 자료</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분석 자료는 코스피200 구성종목 201개의 2015년 1월 2일부터 2026년 10월 16일까지 일별 자료 519,617행이며, 종목당 최대 2,892거래일이다. 종목 목록은 2026년 9월 8일 지수 구성종목 조회 결과이고, 지수와 투자자 수급 계열을 포함해 모두 증권사 Open API로 수집하였다. 거래정지일은 거래량이 0이고 시가·고가·저가·종가가 같게 기록되는데, 그대로 두면 허위의 0 수익률이 생겨 변동성 추정을 왜곡하므로 지표 산출 전에 제거하였다. 종목마다 거래일 수가 크게 다르고, 가장 짧은 종목은 35거래일뿐이다. 201종목이 모두 존재하는 공통 달력을 강제하면 전체 행의 98.6%가 사라지므로, 윈도우는 각 종목의 자기 행 위에서 구성하였다. 모형과 평가 코드는 요청에 따라 제공하며, 원자료는 API 이용 약관상 재배포할 수 없다.</w:t>
      </w:r>
    </w:p>
    <w:p>
      <w:pPr>
        <w:keepNext/>
        <w:autoSpaceDE w:val="0"/>
        <w:autoSpaceDN w:val="0"/>
        <w:spacing w:after="20" w:before="0" w:line="280" w:lineRule="exact"/>
      </w:pPr>
      <w:r>
        <w:rPr>
          <w:rFonts w:ascii="Times New Roman" w:hAnsi="Times New Roman" w:eastAsia="Apple SD Gothic Neo"/>
          <w:b/>
          <w:i w:val="0"/>
          <w:spacing w:val="-9"/>
          <w:w w:val="95"/>
          <w:sz w:val="18"/>
        </w:rPr>
        <w:t>4.2 변수와 목표변수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3&gt;은 입력 변수의 구성이다. 동적 30채널 가운데 기술적 지표 8채널은 수렴·발산 지표(3), 상대강도지수, 상품채널지수, 볼린저 밴드(2), 실질변동폭(ATR)이다.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3. Input channels</w:t>
      </w:r>
    </w:p>
    <w:tbl>
      <w:tblPr>
        <w:jc w:val="center"/>
        <w:tblLook w:firstColumn="1" w:firstRow="1" w:lastColumn="0" w:lastRow="0" w:noHBand="0" w:noVBand="1" w:val="04A0"/>
        <w:tblW w:w="4507" w:type="dxa"/>
        <w:tblLayout w:type="fixed"/>
        <w:tblCellMar>
          <w:left w:w="40" w:type="dxa"/>
          <w:right w:w="40" w:type="dxa"/>
        </w:tblCellMar>
      </w:tblPr>
      <w:tblGrid>
        <w:gridCol w:w="1615"/>
        <w:gridCol w:w="2381"/>
        <w:gridCol w:w="510"/>
      </w:tblGrid>
      <w:tr>
        <w:trPr>
          <w:cantSplit/>
        </w:trPr>
        <w:tc>
          <w:tcPr>
            <w:tcW w:type="dxa" w:w="161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Group</w:t>
            </w:r>
          </w:p>
        </w:tc>
        <w:tc>
          <w:tcPr>
            <w:tcW w:type="dxa" w:w="2381"/>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Channels</w:t>
            </w:r>
          </w:p>
        </w:tc>
        <w:tc>
          <w:tcPr>
            <w:tcW w:type="dxa" w:w="51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n</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(stock)</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returns and momentum (5), trading activity (4), moving-average gaps (3), technical indicators (8), index-relative (6), investor flows (4)</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sequences</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KOSPI and KOSDAQ derivatives, overseas index exchange-traded funds</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w:t>
            </w:r>
          </w:p>
        </w:tc>
      </w:tr>
      <w:tr>
        <w:trPr>
          <w:cantSplit/>
        </w:trPr>
        <w:tc>
          <w:tcPr>
            <w:tcW w:type="dxa" w:w="161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Static categoricals</w:t>
            </w:r>
          </w:p>
        </w:tc>
        <w:tc>
          <w:tcPr>
            <w:tcW w:type="dxa" w:w="2381"/>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sector, market-cap bucket, weekday</w:t>
            </w:r>
          </w:p>
        </w:tc>
        <w:tc>
          <w:tcPr>
            <w:tcW w:type="dxa" w:w="51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3</w:t>
            </w:r>
          </w:p>
        </w:tc>
      </w:tr>
    </w:tbl>
    <w:p>
      <w:pPr>
        <w:spacing w:after="80"/>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5).</w:t>
      </w:r>
    </w:p>
    <w:p>
      <w:pPr>
        <w:autoSpaceDE w:val="0"/>
        <w:autoSpaceDN w:val="0"/>
        <w:spacing w:after="80" w:before="0" w:line="280" w:lineRule="exact"/>
        <w:jc w:val="center"/>
      </w:pPr>
      <w:r>
        <w:rPr>
          <w:rFonts w:ascii="Times New Roman" w:hAnsi="Times New Roman" w:eastAsia="AppleMyungjo"/>
          <w:b w:val="0"/>
          <w:i/>
          <w:spacing w:val="-5"/>
          <w:w w:val="100"/>
          <w:sz w:val="18"/>
        </w:rPr>
        <w:t>y</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(5)</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는 일별 로그수익률이고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는 같은 날 코스피200의 로그수익률이다.</w:t>
      </w:r>
    </w:p>
    <w:p>
      <w:pPr>
        <w:keepNext/>
        <w:autoSpaceDE w:val="0"/>
        <w:autoSpaceDN w:val="0"/>
        <w:spacing w:after="20" w:before="0" w:line="280" w:lineRule="exact"/>
      </w:pPr>
      <w:r>
        <w:rPr>
          <w:rFonts w:ascii="Times New Roman" w:hAnsi="Times New Roman" w:eastAsia="Apple SD Gothic Neo"/>
          <w:b/>
          <w:i w:val="0"/>
          <w:spacing w:val="-9"/>
          <w:w w:val="95"/>
          <w:sz w:val="18"/>
        </w:rPr>
        <w:t>4.3 분할과 기준선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분할은 종목이 아니라 날짜 기준 전역 분할이다. 2022년까지 학습, 2023년 검증, 2024년 이후 시험이며, 목표가 5일 앞을 보므로 각 경계에 5일 격리구간을 둔다. 정규화 통계는 학습 구간 행에서만 추정한다.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윈도우는 120일 입력이 해당 구간 안에 온전히 들어갈 때만 만든다. 입력이 앞 구간에 걸쳐도 격리구간이 목표값 중첩을 막으므로 누수는 아니지만, 그 경우 검증 표본의 입력 대부분이 학습에서 이미 본 행이 된다. 그 대가로 각 구간의 처음 120거래일이 소모된다. 검증 표본은 2023년 7월 3일부터 12월 28일까지 122거래일·190종목·23,086건, 시험 표본은 2024년 7월 3일부터 2026년 10월 8일까지 550거래일·198종목·106,490건이다. 자료는 2026년 10월 16일 수집분으로 동결하였다.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인접 표본은 120일 중 119일의 입력과 5일 중 4일의 목표를 공유하므로 명목 학습 행 264,653건의 실질 규모는 훨씬 작다. 이 때문에 모수를 늘리면 1~2회차에 과적합되어 0.50M으로 고정하였다.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keepNext/>
        <w:autoSpaceDE w:val="0"/>
        <w:autoSpaceDN w:val="0"/>
        <w:spacing w:after="280" w:before="360" w:line="310" w:lineRule="exact"/>
      </w:pPr>
      <w:r>
        <w:rPr>
          <w:rFonts w:ascii="Times New Roman" w:hAnsi="Times New Roman" w:eastAsia="Apple SD Gothic Neo"/>
          <w:b/>
          <w:i w:val="0"/>
          <w:spacing w:val="0"/>
          <w:w w:val="97"/>
          <w:sz w:val="20"/>
        </w:rPr>
        <w:t>5. 실험 결과</w:t>
      </w:r>
    </w:p>
    <w:p>
      <w:pPr>
        <w:keepNext/>
        <w:autoSpaceDE w:val="0"/>
        <w:autoSpaceDN w:val="0"/>
        <w:spacing w:after="20" w:before="0" w:line="280" w:lineRule="exact"/>
      </w:pPr>
      <w:r>
        <w:rPr>
          <w:rFonts w:ascii="Times New Roman" w:hAnsi="Times New Roman" w:eastAsia="Apple SD Gothic Neo"/>
          <w:b/>
          <w:i w:val="0"/>
          <w:spacing w:val="-9"/>
          <w:w w:val="95"/>
          <w:sz w:val="18"/>
        </w:rPr>
        <w:t>5.1 동일조건 정확도 비교</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모형이 내놓은 예측 구간에 의존하므로, 그 구간을 만드는 분포가 쓸 만한지를 먼저 확인한다. 세 모형은 자료·분할·학습절차·조기종료 규칙을 공유하고 기준선도 0.012175로 같다. 두 가지 제약이 있다. PatchTST 계열 대조군은 원 구조에 해당 개념이 없어 매크로와 정적 변수를 입력받지 못한다. 초매개변수는 제안 모형에 맞춘 값을 대조군에도 그대로 적용하였으므로 대조군의 최적값이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트랜스포머 모형은 같은 혼합정밀도 설정으로 캐글 GPU에서 학습하고 한 장비에서 평가하였으며, 분위 GBDT는 적합에 난수 요소가 없어 한 번만 학습하였다. 점 예측을 그대로 내는 원본 PatchTST는 표에서 제외하였다. 세 분위를 같은 값으로 채점하면 기준선보다 47.79% 나쁜데, 이는 구조의 비교가 아니라 손실함수의 차이를 보는 것이기 때문이다.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4. Forecast accuracy on the validation and test splits (three-quantile pinball loss; mean over five seeds 42-46 with the standard deviation, single run for the quantile GBDT). Lower is better, and 'vs baseline' is the improvement over the unconditional-quantile predictor, which scores 0.012175 on validation and 0.018754 on test</w:t>
      </w:r>
    </w:p>
    <w:tbl>
      <w:tblPr>
        <w:jc w:val="center"/>
        <w:tblLook w:firstColumn="1" w:firstRow="1" w:lastColumn="0" w:lastRow="0" w:noHBand="0" w:noVBand="1" w:val="04A0"/>
        <w:tblW w:w="9552" w:type="dxa"/>
        <w:tblLayout w:type="fixed"/>
        <w:tblCellMar>
          <w:left w:w="40" w:type="dxa"/>
          <w:right w:w="40" w:type="dxa"/>
        </w:tblCellMar>
      </w:tblPr>
      <w:tblGrid>
        <w:gridCol w:w="2142"/>
        <w:gridCol w:w="803"/>
        <w:gridCol w:w="1696"/>
        <w:gridCol w:w="982"/>
        <w:gridCol w:w="2053"/>
        <w:gridCol w:w="982"/>
        <w:gridCol w:w="892"/>
      </w:tblGrid>
      <w:tr>
        <w:trPr>
          <w:cantSplit/>
        </w:trPr>
        <w:tc>
          <w:tcPr>
            <w:tcW w:type="dxa" w:w="214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80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69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Validation</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205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89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Best epoch</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0.035M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0.012166 ± 0.000022</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0.018686 ± 0.000130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+0.36%</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1-5</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0.687M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0.011935 ± 0.000020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0.018325 ± 0.000091</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+2.28%</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375 trees</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0.011890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+2.34%</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0.018107</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r>
      <w:tr>
        <w:trPr>
          <w:cantSplit/>
        </w:trPr>
        <w:tc>
          <w:tcPr>
            <w:tcW w:type="dxa" w:w="214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80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69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0.011889 ± 0.000012</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+2.35%</w:t>
            </w:r>
          </w:p>
        </w:tc>
        <w:tc>
          <w:tcPr>
            <w:tcW w:type="dxa" w:w="205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0.017826 ± 0.000059</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+4.95%</w:t>
            </w:r>
          </w:p>
        </w:tc>
        <w:tc>
          <w:tcPr>
            <w:tcW w:type="dxa" w:w="89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2-10</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제안 모형은 두 구간 모두에서 TFT 원본보다 손실이 낮았고, 시드를 짝지은 비교에서도 구간마다 다섯 시드 전부가 같은 방향이었다(구간별 부호검정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0.031 단측, 두 구간 각각). 두 구간은 같은 체크포인트에서 나오므로 열 번을 독립 시행으로 합치지 않는다. 검증구간의 격차는 핀볼 손실 0.000046으로 기준선 대비 개선폭의 16%에 그치므로 우위가 아니라 대등하거나 근소하게 낫다는 수준으로 해석한다. 조기종료와 최적 회차 선택에 쓰이지 않은 시험구간에서는 격차가 0.000499로 벌어지며 다섯 시드의 범위가 겹치지 않는다 (0.017739~0.017895 대 0.018205~0.018407). 평균 차이에 대한 Welch 검정은 검증구간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4.47(</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0.004), 시험구간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10.33(</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&lt; 0.001)이다. 같은 표본의 날짜별 손실 계열에 Diebold-Mariano 검정[22](Newey-West 4시차[23], Harvey-Leybourne-Newbold 소표본 보정[24])을 적용하면 550거래일의 시험구간에서는 다섯 시드 모두 유의하나(</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0.022) 122거래일의 검증구간에서는 다섯 시드 모두 유의하지 않다(</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0.16~0.56). 날짜를 표본으로 보는 검정이므로 짧은 구간에서는 검정력이 약하다. 분위수 출력층만 부착한 PatchTST는 검증구간 +0.07%, 시험구간 +0.36%로 상수 예측을 간신히 상회하는 데 그쳤고, 다섯 시드 가운데 네 시드는 첫 회차에서 최적값에 도달하였다. 격차가 시험구간에서 벌어지는 이유의 하나는 학습 곡선이다. TFT는 다섯 시드 모두 1~2회차에서 최적값에 도달한 뒤 과적합으로 돌아섰고, 제안 모형의 최적 회차는 2~10회차에 분포하였다. 세 모형을 모두 단정밀도로 맞추어 한 번씩 학습하면 격차는 좁아지지만 순서는 바뀌지 않는다. 중앙값만 떼어 평균절대오차로 재면 제안 모형은 0.053439 ± 0.000142로 상수 기준선(0.053447)과 사실상 같고 TFT 원본은 0.053707로 오히려 나쁘므로, 핀볼 손실의 개선은 중앙값의 점 정확도가 아니라 예측 구간에서 온다.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트리 계열 기준모형으로 분위 손실을 쓰는 히스토그램 그래디언트 부스팅(LightGBM[25]의 방식을 따른 scikit-learn[26]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검증구간 손실은 제안 모형과 같았고(0.011890 대 0.011889), 시험구간 손실은 TFT 원본보다 작고 제안 모형보다 컸다. 제안 모형의 다섯 시드는 모두 이 값보다 낮았다(최대 0.017895 대 0.018107).</w:t>
      </w:r>
    </w:p>
    <w:p>
      <w:pPr>
        <w:keepNext/>
        <w:autoSpaceDE w:val="0"/>
        <w:autoSpaceDN w:val="0"/>
        <w:spacing w:after="20" w:before="0" w:line="280" w:lineRule="exact"/>
      </w:pPr>
      <w:r>
        <w:rPr>
          <w:rFonts w:ascii="Times New Roman" w:hAnsi="Times New Roman" w:eastAsia="Apple SD Gothic Neo"/>
          <w:b/>
          <w:i w:val="0"/>
          <w:spacing w:val="-9"/>
          <w:w w:val="95"/>
          <w:sz w:val="18"/>
        </w:rPr>
        <w:t>5.2 계산 비용</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자원 사용량은 본 연구의 기여가 아니라, 제안 모형이 기존 분포 예측 모형을 대신할 수 있는지를 확인하는 조건이다. Table 5. Computational cost measured on one device (Mac, Metal GPU backend; batch 64, 120-day input, 201 stocks). The quantile GBDT row is one full fit of the three quantile models on the CPU (8 cores), so it has neither epochs nor activation memory. The text below gives the measurement procedure</w:t>
      </w:r>
    </w:p>
    <w:p>
      <w:pPr>
        <w:sectPr>
          <w:type w:val="continuous"/>
          <w:pgSz w:w="11906" w:h="16838"/>
          <w:pgMar w:top="2013" w:right="1134" w:bottom="1446" w:left="1134" w:header="1446" w:footer="879" w:gutter="0"/>
          <w:docGrid w:linePitch="360"/>
          <w:cols w:num="2" w:space="453" w:equalWidth="1"/>
        </w:sectPr>
      </w:pPr>
    </w:p>
    <w:tbl>
      <w:tblPr>
        <w:jc w:val="center"/>
        <w:tblLook w:firstColumn="1" w:firstRow="1" w:lastColumn="0" w:lastRow="0" w:noHBand="0" w:noVBand="1" w:val="04A0"/>
        <w:tblW w:w="9552" w:type="dxa"/>
        <w:tblLayout w:type="fixed"/>
        <w:tblCellMar>
          <w:left w:w="40" w:type="dxa"/>
          <w:right w:w="40" w:type="dxa"/>
        </w:tblCellMar>
      </w:tblPr>
      <w:tblGrid>
        <w:gridCol w:w="2729"/>
        <w:gridCol w:w="1574"/>
        <w:gridCol w:w="1574"/>
        <w:gridCol w:w="1364"/>
        <w:gridCol w:w="1049"/>
        <w:gridCol w:w="1259"/>
      </w:tblGrid>
      <w:tr>
        <w:trPr>
          <w:cantSplit/>
        </w:trPr>
        <w:tc>
          <w:tcPr>
            <w:tcW w:type="dxa" w:w="272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s / epoch</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Latency / stock</w:t>
            </w:r>
          </w:p>
        </w:tc>
        <w:tc>
          <w:tcPr>
            <w:tcW w:type="dxa" w:w="136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Universe pass</w:t>
            </w:r>
          </w:p>
        </w:tc>
        <w:tc>
          <w:tcPr>
            <w:tcW w:type="dxa" w:w="105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Activation</w:t>
            </w:r>
          </w:p>
        </w:tc>
        <w:tc>
          <w:tcPr>
            <w:tcW w:type="dxa" w:w="126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 memory</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110.8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0.092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18.6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172.8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550.8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0.693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139.4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679.1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2.75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143.5</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28.7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132.9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 MB</w:t>
            </w:r>
          </w:p>
        </w:tc>
      </w:tr>
      <w:tr>
        <w:trPr>
          <w:cantSplit/>
        </w:trPr>
        <w:tc>
          <w:tcPr>
            <w:tcW w:type="dxa" w:w="272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Quantile GBDT (CPU)</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26.1 (full fit)</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0.068 ms</w:t>
            </w:r>
          </w:p>
        </w:tc>
        <w:tc>
          <w:tcPr>
            <w:tcW w:type="dxa" w:w="136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13.4 ms</w:t>
            </w:r>
          </w:p>
        </w:tc>
        <w:tc>
          <w:tcPr>
            <w:tcW w:type="dxa" w:w="105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6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2.13 MB</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epoch당 시간은 40배치의 학습 스텝 시간 중앙값에 학습 윈도우가 만드는 4,135배치를 곱한 값이다. 전 종목 1회 통과는 201종목 순전파 21회의 중앙값이고, 종목당 지연시간은 그 값을 201로 나눈 것이다. 활성값은 역전파 그래프를 남기는 순전파가 추가로 할당한 장치 메모리다.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모형은 TFT 원본보다 학습 시간이 3.8배, 활성값 메모리가 5.1배 적으면서 손실은 더 낮았다. 입력을 구간 단위로 묶어 어텐션 대상 길이를 120에서 24로 줄이고, 채널을 인코더 앞에서 하나로 합쳐 반복 실행을 없앤 결과다. 같은 배율은 장비가 달라도 재현되어, 캐글 GPU에서는 제안 모형 41.8초/epoch, TFT 원본 157.1초/epoch였다. 분위 GBDT의 비용은 이보다도 낮다. 세 분위 모형 전체를 한 번 학습하는 데 CPU에서 26.1초로 제안 모형의 1 epoch보다 짧았고, 종목당 추론도 0.068 ms로 절반 이하였다. 따라서 본 연구의 경량은 트랜스포머 분위 모형, 특히 TFT 대비의 의미이며, 제안 모형이 GBDT 대비 얻는 것은 비용이 아니라 시험구간 손실의 추가 개선(+4.95% 대 +3.45%)이다.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(Fig. 2)는 &lt;Table 4&gt;의 검증 정확도와 &lt;Table 5&gt;의 비용을 한 평면에 놓은 것이다. 세 트랜스포머 모형 가운데 제안 모형이 파레토 전선 위에 있고, 분위 GBDT는 검증 정확도가 같으면서 지연이 더 짧다.</w:t>
      </w:r>
    </w:p>
    <w:p>
      <w:pPr>
        <w:spacing w:after="40"/>
        <w:jc w:val="center"/>
      </w:pPr>
      <w:r>
        <w:drawing>
          <wp:inline xmlns:a="http://schemas.openxmlformats.org/drawingml/2006/main" xmlns:pic="http://schemas.openxmlformats.org/drawingml/2006/picture">
            <wp:extent cx="2916000" cy="2225607"/>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25607"/>
                    </a:xfrm>
                    <a:prstGeom prst="rect"/>
                  </pic:spPr>
                </pic:pic>
              </a:graphicData>
            </a:graphic>
          </wp:inline>
        </w:drawing>
      </w:r>
    </w:p>
    <w:p>
      <w:pPr>
        <w:autoSpaceDE w:val="0"/>
        <w:autoSpaceDN w:val="0"/>
        <w:spacing w:after="40" w:before="0" w:line="220" w:lineRule="exact"/>
      </w:pPr>
      <w:r>
        <w:rPr>
          <w:rFonts w:ascii="Times New Roman" w:hAnsi="Times New Roman" w:eastAsia="Apple SD Gothic Neo"/>
          <w:b w:val="0"/>
          <w:i w:val="0"/>
          <w:spacing w:val="-8"/>
          <w:w w:val="95"/>
          <w:sz w:val="17"/>
        </w:rPr>
        <w:t>Fig. 2. Forecast accuracy against inference cost. The vertical axis is the pinball improvement over the unconditional-quantile baseline on validation, the split the models were selected on; the test-split gap is wider (&lt;Table 4&gt;). The horizontal axis is per-stock inference latency, and the circle area is activation memory for a 120-day input (&lt;Table 5&gt;). The quantile GBDT (open diamond) is measured on the CPU and has no activation memory, so its marker size does not apply. The original point-forecast PatchTST is omitted because its pinball loss falls far below the plotted range.</w:t>
      </w:r>
    </w:p>
    <w:p>
      <w:pPr>
        <w:keepNext/>
        <w:autoSpaceDE w:val="0"/>
        <w:autoSpaceDN w:val="0"/>
        <w:spacing w:after="20" w:before="0" w:line="280" w:lineRule="exact"/>
      </w:pPr>
      <w:r>
        <w:rPr>
          <w:rFonts w:ascii="Times New Roman" w:hAnsi="Times New Roman" w:eastAsia="Apple SD Gothic Neo"/>
          <w:b/>
          <w:i w:val="0"/>
          <w:spacing w:val="-9"/>
          <w:w w:val="95"/>
          <w:sz w:val="18"/>
        </w:rPr>
        <w:t>5.3 판단 보류 행태</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네 분위 모형에 3.4절의 같은 보류 규칙을 적용하고 시험구간 전체에서 집계하였다. 점 예측 모형은 임계값을 적용할 폭이 없어 보류가 정의되지 않으므로 제외하였다.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6. Abstention on the test split (550 days, 106,490 windows), mean over five seeds with the standard deviation, single run for the quantile GBDT. The threshold is the 95th percentile of the width distribution over the trailing 90 calendar days, pooled across all stocks. Q1 and Q4 are the lowest and highest quartiles of realized volatility at decision time, taken over the whole test split</w:t>
      </w:r>
    </w:p>
    <w:tbl>
      <w:tblPr>
        <w:jc w:val="center"/>
        <w:tblLook w:firstColumn="1" w:firstRow="1" w:lastColumn="0" w:lastRow="0" w:noHBand="0" w:noVBand="1" w:val="04A0"/>
        <w:tblW w:w="9552" w:type="dxa"/>
        <w:tblLayout w:type="fixed"/>
        <w:tblCellMar>
          <w:left w:w="40" w:type="dxa"/>
          <w:right w:w="40" w:type="dxa"/>
        </w:tblCellMar>
      </w:tblPr>
      <w:tblGrid>
        <w:gridCol w:w="1833"/>
        <w:gridCol w:w="1157"/>
        <w:gridCol w:w="1157"/>
        <w:gridCol w:w="1640"/>
        <w:gridCol w:w="1736"/>
        <w:gridCol w:w="2026"/>
      </w:tblGrid>
      <w:tr>
        <w:trPr>
          <w:cantSplit/>
        </w:trPr>
        <w:tc>
          <w:tcPr>
            <w:tcW w:type="dxa" w:w="183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Abstain</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Q1</w:t>
            </w:r>
          </w:p>
        </w:tc>
        <w:tc>
          <w:tcPr>
            <w:tcW w:type="dxa" w:w="164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w:t>
            </w:r>
          </w:p>
        </w:tc>
        <w:tc>
          <w:tcPr>
            <w:tcW w:type="dxa" w:w="17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abstained</w:t>
            </w:r>
          </w:p>
        </w:tc>
        <w:tc>
          <w:tcPr>
            <w:tcW w:type="dxa" w:w="202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retained</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5.24 ± 0.32%</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 ± 2.04%</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8.02 ± 2.75%</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0.02127 ± 0.00171</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0.01855 ± 0.00022</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5.36%</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17.04%</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0.02622</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0.01765</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5.28 ± 0.13%</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 ± 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16.71 ± 0.41%</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0.02584 ± 0.00104</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0.01791 ± 0.00014</w:t>
            </w:r>
          </w:p>
        </w:tc>
      </w:tr>
      <w:tr>
        <w:trPr>
          <w:cantSplit/>
        </w:trPr>
        <w:tc>
          <w:tcPr>
            <w:tcW w:type="dxa" w:w="183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5.91 ± 0.11%</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0.21 ± 0.05%</w:t>
            </w:r>
          </w:p>
        </w:tc>
        <w:tc>
          <w:tcPr>
            <w:tcW w:type="dxa" w:w="164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20.07 ± 0.71%</w:t>
            </w:r>
          </w:p>
        </w:tc>
        <w:tc>
          <w:tcPr>
            <w:tcW w:type="dxa" w:w="17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0.02612 ± 0.00040</w:t>
            </w:r>
          </w:p>
        </w:tc>
        <w:tc>
          <w:tcPr>
            <w:tcW w:type="dxa" w:w="202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0.01730 ± 0.00005</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&lt;Table 6&gt;은 보류 요구사항이 규칙이 아니라 구조에 의해 충족되었음을 보여준다. 네 행의 보류 규칙은 동일하며 예측 분포만 다르다. 분위수 출력층을 부착하면 보류가 작동하기 시작하고, 변수선택·정적 문맥·매크로 입력이 더해지면 최상위 변동성 분위의 보류율이 20.07%인 반면 최하위 분위는 0.21%에 머물러 보류가 고변동 구간에 집중된다. 이 집중은 세 구성요소 가운데 하나를 빼도 유지된다(5.4절). 예측 폭과 실현 변동의 상관 자체는 TFT 원본이 더 높았다(0.186 대 0.170). 보류가 고변동 구간에 더 몰리는 것과 폭이 변동을 더 잘 따라가는 것은 별개의 성질이다. 보류한 판단은 실제로 더 나빴다. 제안 모형이 보류한 예측의 핀볼 손실은 남긴 예측의 1.510 ± 0.023배이며, 날짜 단위로 짝지은 손실차의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19.41 ± 1.02이다. 반면 중앙값 부호의 방향 적중률은 보류 0.56 ± 0.02 대 유지 0.55 ± 0.02로 거의 같다. 보류한 판단은 방향을 틀리기 쉬운 판단이 아니라 오차의 크기가 큰 판단이며, 이는 보류가 폭에 걸려 있다는 설계와 일치한다.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보류율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분위수 출력층만 부착한 모형은 통제군에 미치지 못하였다. 예측 폭이 단순 변동성 지표보다 나은 보류 기준이라는 결과는 분위수 출력층을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보류율의 절대 수준을 정하는 임계값 분위는 시험구간을 참조하여 선택되었으므로 5.91%라는 값은 표본 밖 수치가 아니다. 다만 앞 문단의 통제군 비교는 날짜마다 같은 개수를 보류시켜 보류율을 맞춘 상태에서 여섯 수준 전부로 수행하였으므로, 이 비교의 결론은 임계값 선택에 의존하지 않는다. 분위를 95에서 90, 75로 낮추면 전체 보류율이 11.71%, 28.08%로 오르는 동안 최상위 변동성 분위의 보류율도 36.22%, 68.72%로 함께 올라 분위별 집중과 모형 간 순서가 모두 유지된다.</w:t>
      </w:r>
    </w:p>
    <w:p>
      <w:pPr>
        <w:keepNext/>
        <w:autoSpaceDE w:val="0"/>
        <w:autoSpaceDN w:val="0"/>
        <w:spacing w:after="20" w:before="0" w:line="280" w:lineRule="exact"/>
      </w:pPr>
      <w:r>
        <w:rPr>
          <w:rFonts w:ascii="Times New Roman" w:hAnsi="Times New Roman" w:eastAsia="Apple SD Gothic Neo"/>
          <w:b/>
          <w:i w:val="0"/>
          <w:spacing w:val="-9"/>
          <w:w w:val="95"/>
          <w:sz w:val="18"/>
        </w:rPr>
        <w:t>5.4 구성요소 제거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분위수 출력층만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출력층으로 보내며, 정적 문맥 제거 변형은 문맥 벡터를 0으로 두어 변수선택의 조건화와 결합 뒤 더하기를 함께 껐다. 초매개변수는 &lt;Table 2&gt; 그대로이며, 보고 지표는 실험 전에 시험구간 핀볼 손실, 최상위 변동성 분위의 보류율, 보류율 6%에서 맞춘 통제군 대비 비 차이의 셋으로 정하였다. 결과는 &lt;Table 7&gt;과 같다.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7. Removing one component at a time (test split, mean over five seeds 42-46 with the standard deviation). 'Ours lower' counts the seeds on which the proposed model has the lower test loss; 'Ratio gap at 6%' is the abstained-to-retained loss ratio of the width rule minus that of the trailing 20-day volatility control at a matched 6% abstention rate (Section 5.3)</w:t>
      </w:r>
    </w:p>
    <w:tbl>
      <w:tblPr>
        <w:jc w:val="center"/>
        <w:tblLook w:firstColumn="1" w:firstRow="1" w:lastColumn="0" w:lastRow="0" w:noHBand="0" w:noVBand="1" w:val="04A0"/>
        <w:tblW w:w="9552" w:type="dxa"/>
        <w:tblLayout w:type="fixed"/>
        <w:tblCellMar>
          <w:left w:w="40" w:type="dxa"/>
          <w:right w:w="40" w:type="dxa"/>
        </w:tblCellMar>
      </w:tblPr>
      <w:tblGrid>
        <w:gridCol w:w="2622"/>
        <w:gridCol w:w="561"/>
        <w:gridCol w:w="1779"/>
        <w:gridCol w:w="1030"/>
        <w:gridCol w:w="936"/>
        <w:gridCol w:w="1217"/>
        <w:gridCol w:w="1404"/>
      </w:tblGrid>
      <w:tr>
        <w:trPr>
          <w:cantSplit/>
        </w:trPr>
        <w:tc>
          <w:tcPr>
            <w:tcW w:type="dxa" w:w="262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Variant</w:t>
            </w:r>
          </w:p>
        </w:tc>
        <w:tc>
          <w:tcPr>
            <w:tcW w:type="dxa" w:w="56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77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 pinball</w:t>
            </w:r>
          </w:p>
        </w:tc>
        <w:tc>
          <w:tcPr>
            <w:tcW w:type="dxa" w:w="103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9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Ours lower</w:t>
            </w:r>
          </w:p>
        </w:tc>
        <w:tc>
          <w:tcPr>
            <w:tcW w:type="dxa" w:w="121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 abstain</w:t>
            </w:r>
          </w:p>
        </w:tc>
        <w:tc>
          <w:tcPr>
            <w:tcW w:type="dxa" w:w="140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Ratio gap at 6%</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0.017826 ± 0.000059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+4.95%</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20.07 ± 0.71%</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+0.064 ± 0.029</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Variable selection to linear merge</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0.117M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0.017837 ± 0.000078</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+4.89%</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19.90 ± 0.18%</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+0.057 ± 0.007</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 macro cross-attention</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0.468M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0.017786 ± 0.000029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+5.16%</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20.51 ± 0.46%</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+0.080 ± 0.035</w:t>
            </w:r>
          </w:p>
        </w:tc>
      </w:tr>
      <w:tr>
        <w:trPr>
          <w:cantSplit/>
        </w:trPr>
        <w:tc>
          <w:tcPr>
            <w:tcW w:type="dxa" w:w="262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No static context</w:t>
            </w:r>
          </w:p>
        </w:tc>
        <w:tc>
          <w:tcPr>
            <w:tcW w:type="dxa" w:w="56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0.456M</w:t>
            </w:r>
          </w:p>
        </w:tc>
        <w:tc>
          <w:tcPr>
            <w:tcW w:type="dxa" w:w="177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0.017797 ± 0.000010</w:t>
            </w:r>
          </w:p>
        </w:tc>
        <w:tc>
          <w:tcPr>
            <w:tcW w:type="dxa" w:w="103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+5.10%</w:t>
            </w:r>
          </w:p>
        </w:tc>
        <w:tc>
          <w:tcPr>
            <w:tcW w:type="dxa" w:w="9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1/5</w:t>
            </w:r>
          </w:p>
        </w:tc>
        <w:tc>
          <w:tcPr>
            <w:tcW w:type="dxa" w:w="121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20.18 ± 0.30%</w:t>
            </w:r>
          </w:p>
        </w:tc>
        <w:tc>
          <w:tcPr>
            <w:tcW w:type="dxa" w:w="140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+0.067 ± 0.021</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세 변형 모두 세 지표에서 제안 모형과 구별되지 않았다. 시험구간 손실의 Welch 검정은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0.81, 0.21, 0.33이고, 짝지은 비교에서 제안 모형이 낮은 시드는 다섯 가운데 셋, 둘, 하나였다. 보류율 6%의 통제군 비교는 열다섯 실행 가운데 열넷에서 95% 신뢰구간이 0을 포함하지 않았다. 따라서 개선은 어느 한 구성요소에서 오지 않는다. 설명은 둘로 남는다. 세 변형이 공유하는 채널 축약 구조 자체가 원인이거나, 구성요소들이 서로를 대신하는 것이다. 둘 이상을 함께 제거하지 않았으므로 이 둘은 가려지지 않는다. 선형 합치기 변형은 모수가 4분의 1이면서 결과가 같았으므로, 운용에서는 이 변형이 더 가벼운 대안이다.</w:t>
      </w:r>
    </w:p>
    <w:p>
      <w:pPr>
        <w:keepNext/>
        <w:autoSpaceDE w:val="0"/>
        <w:autoSpaceDN w:val="0"/>
        <w:spacing w:after="280" w:before="360" w:line="310" w:lineRule="exact"/>
      </w:pPr>
      <w:r>
        <w:rPr>
          <w:rFonts w:ascii="Times New Roman" w:hAnsi="Times New Roman" w:eastAsia="Apple SD Gothic Neo"/>
          <w:b/>
          <w:i w:val="0"/>
          <w:spacing w:val="0"/>
          <w:w w:val="97"/>
          <w:sz w:val="20"/>
        </w:rPr>
        <w:t>6. 결론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주가 예측 모형이 확신하지 못하는 시점을 스스로 가려내는 문제를 다루었다. 연산량이 적은 예측 모형이 여러 분위수를 함께 출력하도록 바꾸고, 예측 구간의 폭이 평소보다 넓은 시점에서 판단을 보류하는 규칙을 적용하였다. 코스피200 구성종목 201개의 2015년 이후 일별 자료로 평가하였다.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의도한 대로 작동하였다. 보류는 변동성이 큰 시기에 몰렸고, 최상위 변동성 분위에서 20.07%인 반면 최하위 분위에서는 0.21%였다. 보류한 예측의 오차는 실행한 예측의 1.5배였다. 이 차이는 보류 비율을 같게 맞춘 여섯 수준 전부에서 최근 변동성만 보고 보류하는 규칙보다 컸다. 같은 성질이 분위수 출력층만 부착한 모형에서는 나타나지 않았으므로, 출력 형식을 바꾸는 것만으로는 얻어지지 않는다. 다만 분위 그래디언트 부스팅도 같은 비교에서 대등하였으므로 이 성질이 트랜스포머 구조에 고유한 것은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예측 분포의 정확도와 자원 사용은 다음과 같다. 제안 모형의 분위 손실은 검증구간과 시험구간 모두에서 TFT 원본보다 낮았고, 조기종료에 쓰이지 않은 시험구간에서는 다섯 시드 전부가 같은 방향이었으며 날짜 단위 DM 검정도 다섯 시드 모두 유의하였다. 학습 시간은 3.8배, 활성값 메모리는 5.1배 적었다. 그러나 분위 그래디언트 부스팅은 그보다도 적은 자원으로 학습되므로, 자원 절감은 트랜스포머 계열 안에서의 비교다. 중앙값만 떼어 평균절대오차로 재면 제안 모형은 상수 기준선과 같다. 본 연구가 더하는 것은 예측값의 정확도가 아니라 예측을 실행하지 말아야 할 시점의 선별이다.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예측 손실로 평가하였으며 거래비용을 포함한 투자 성과는 측정하지 않았다. 유니버스는 현재 시점의 구성종목이고, 입력 설계와 보류 임계값 선택에 평가 기간 자료가 일부 참고되었다. 구성요소를 하나씩 제거하는 실험으로는 개선이 채널 축약 구조 자체에서 오는지 구성요소 간 대체에서 오는지 가리지 못하였다(5.4절). 예측 구간의 포함률은 71.6%로 명목 80%에 못 미쳐(등각 분위회귀 보정[13] 후 73.9%) 구간을 신뢰구간으로 해석할 수는 없으나, 보류는 폭의 순위만 쓰므로 영향을 받지 않는다.</w:t>
      </w:r>
    </w:p>
    <w:p>
      <w:pPr>
        <w:keepNext/>
        <w:autoSpaceDE w:val="0"/>
        <w:autoSpaceDN w:val="0"/>
        <w:spacing w:after="280" w:before="360" w:line="310" w:lineRule="exact"/>
      </w:pPr>
      <w:r>
        <w:rPr>
          <w:rFonts w:ascii="Times New Roman" w:hAnsi="Times New Roman" w:eastAsia="Apple SD Gothic Neo"/>
          <w:b/>
          <w:i w:val="0"/>
          <w:spacing w:val="0"/>
          <w:w w:val="97"/>
          <w:sz w:val="20"/>
        </w:rPr>
        <w:t>7. 후속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후속 연구로 두 가지를 계획한다. 첫째, 구성요소를 둘 이상 함께 제거한 변형을 학습하여 개선의 출처가 채널 축약 구조인지 구성요소 간 대체인지 가린다. 둘째, 비교 이후 새로 쌓인 자료를 평가에 쓰지 않은 구간으로 두어 여러 시장 국면에서 다시 검증한다.</w:t>
      </w:r>
    </w:p>
    <w:p>
      <w:pPr>
        <w:keepNext/>
        <w:autoSpaceDE w:val="0"/>
        <w:autoSpaceDN w:val="0"/>
        <w:spacing w:after="280" w:before="360" w:line="310" w:lineRule="exact"/>
      </w:pPr>
      <w:r>
        <w:rPr>
          <w:rFonts w:ascii="Times New Roman" w:hAnsi="Times New Roman" w:eastAsia="Apple SD Gothic Neo"/>
          <w:b/>
          <w:i w:val="0"/>
          <w:spacing w:val="0"/>
          <w:w w:val="97"/>
          <w:sz w:val="20"/>
        </w:rPr>
        <w:t>References</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 O. B. Sezer, M. U. Gudelek, and A. M. Ozbayoglu, "Financial time series forecasting with deep learning: A systematic literature review: 2005-2019," </w:t>
      </w:r>
      <w:r>
        <w:rPr>
          <w:rFonts w:ascii="Times New Roman" w:hAnsi="Times New Roman" w:eastAsia="AppleMyungjo"/>
          <w:b w:val="0"/>
          <w:i/>
          <w:spacing w:val="-5"/>
          <w:w w:val="95"/>
          <w:sz w:val="17"/>
        </w:rPr>
        <w:t>Applied Soft Computing</w:t>
      </w:r>
      <w:r>
        <w:rPr>
          <w:rFonts w:ascii="Times New Roman" w:hAnsi="Times New Roman" w:eastAsia="AppleMyungjo"/>
          <w:b w:val="0"/>
          <w:i w:val="0"/>
          <w:spacing w:val="-5"/>
          <w:w w:val="95"/>
          <w:sz w:val="17"/>
        </w:rPr>
        <w:t>, Vol.90, 106181,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 T. S. Kim and S. Lee, "Deep learning-based stock fluctuation prediction according to overseas indices and trading trends,"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No.9, pp.367-374,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[3] A. Vaswani et al., "Attention is all you need,"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pp.5998-6008,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[4] H. Zhou et al., "Informer: Beyond efficient transformer for long sequence time-series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pp.11106-11115,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[5] H. Wu, J. Xu, J. Wang, and M. Long, "Autoformer: Decomposition transformers with auto-correlation for long-term series forecasting,"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pp.22419-22430,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[6] A. Zeng, M. Chen, L. Zhang, and Q. Xu, "Are transformers effective for time 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pp.11121-11128,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[7] Y. Nie, N. H. Nguyen, P. Sinthong, and J. Kalagnanam, "A time series is worth 64 words: Long-term forecasting with transformers,"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[8] B. Lim, S. O. Arik, N. Loeff, and T. Pfister, "Temporal fusion transformers for interpretable multi-horizon time series forecasting,"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Vol.37, No.4, pp.1748-1764,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[9] I. K. Kim, D. H. Kim, and J. Lee, "Temporal fusion transformers and deep learning methods for multi-horizon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Vol.11, No.2, pp.81-86,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[10] D.-K. Kim and K. Kim, "Style-based transformer for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No.12, pp.579-586,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[11] T. Kim, J. Kim, Y. Tae, C. Park, J.-H. Choi, and J. Choo, "Reversible instance normalization for accurate time-series forecasting against distribution shift,"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[12] R. Koenker and G. Bassett, "Regression quantiles,"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Vol.46, No.1, pp.33-50, 1978.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[13] Y. Romano, E. Patterson, and E. J. Candes, "Conformalized quantile regression,"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pp.3543-3553,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[14] C. K. Chow, "On optimum recognition error and reject tradeoff," </w:t>
      </w:r>
      <w:r>
        <w:rPr>
          <w:rFonts w:ascii="Times New Roman" w:hAnsi="Times New Roman" w:eastAsia="AppleMyungjo"/>
          <w:b w:val="0"/>
          <w:i/>
          <w:spacing w:val="-5"/>
          <w:w w:val="95"/>
          <w:sz w:val="17"/>
        </w:rPr>
        <w:t>IEEE Transactions on Information Theory</w:t>
      </w:r>
      <w:r>
        <w:rPr>
          <w:rFonts w:ascii="Times New Roman" w:hAnsi="Times New Roman" w:eastAsia="AppleMyungjo"/>
          <w:b w:val="0"/>
          <w:i w:val="0"/>
          <w:spacing w:val="-5"/>
          <w:w w:val="95"/>
          <w:sz w:val="17"/>
        </w:rPr>
        <w:t>, Vol.16, No.1, pp.41-46, 1970.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[15] R. El-Yaniv and Y. Wiener, "On the foundations of noise-free selective classification,"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Vol.11, pp.1605-1641, 2010.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[16] Y. Geifman and R. El-Yaniv, "Selective classification for deep neural networks,"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pp.4878-4887,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[17] T. Fischer and C. Krauss, "Deep learning with long short-term memory networks for financial market predictions," </w:t>
      </w:r>
      <w:r>
        <w:rPr>
          <w:rFonts w:ascii="Times New Roman" w:hAnsi="Times New Roman" w:eastAsia="AppleMyungjo"/>
          <w:b w:val="0"/>
          <w:i/>
          <w:spacing w:val="-5"/>
          <w:w w:val="95"/>
          <w:sz w:val="17"/>
        </w:rPr>
        <w:t>European Journal of Operational Research</w:t>
      </w:r>
      <w:r>
        <w:rPr>
          <w:rFonts w:ascii="Times New Roman" w:hAnsi="Times New Roman" w:eastAsia="AppleMyungjo"/>
          <w:b w:val="0"/>
          <w:i w:val="0"/>
          <w:spacing w:val="-5"/>
          <w:w w:val="95"/>
          <w:sz w:val="17"/>
        </w:rPr>
        <w:t>, Vol.270, No.2, pp.654-669,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[18] S. Gu, B. Kelly, and D. Xiu, "Empirical asset pricing via machine learning," </w:t>
      </w:r>
      <w:r>
        <w:rPr>
          <w:rFonts w:ascii="Times New Roman" w:hAnsi="Times New Roman" w:eastAsia="AppleMyungjo"/>
          <w:b w:val="0"/>
          <w:i/>
          <w:spacing w:val="-5"/>
          <w:w w:val="95"/>
          <w:sz w:val="17"/>
        </w:rPr>
        <w:t>The Review of Financial Studies</w:t>
      </w:r>
      <w:r>
        <w:rPr>
          <w:rFonts w:ascii="Times New Roman" w:hAnsi="Times New Roman" w:eastAsia="AppleMyungjo"/>
          <w:b w:val="0"/>
          <w:i w:val="0"/>
          <w:spacing w:val="-5"/>
          <w:w w:val="95"/>
          <w:sz w:val="17"/>
        </w:rPr>
        <w:t>, Vol.33, No.5, pp.2223-2273,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[19] H. J. Kim and Y. S. Jung, "A stock price prediction based on recurrent convolution neural network with weighted loss function,"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Vol.8, No.3, pp.123-128,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[20] S. Makridakis, E. Spiliotis, and V. Assimakopoulos, "Statistical and machine learning forecasting methods: Concerns and ways forward," </w:t>
      </w:r>
      <w:r>
        <w:rPr>
          <w:rFonts w:ascii="Times New Roman" w:hAnsi="Times New Roman" w:eastAsia="AppleMyungjo"/>
          <w:b w:val="0"/>
          <w:i/>
          <w:spacing w:val="-5"/>
          <w:w w:val="95"/>
          <w:sz w:val="17"/>
        </w:rPr>
        <w:t>PLOS ONE</w:t>
      </w:r>
      <w:r>
        <w:rPr>
          <w:rFonts w:ascii="Times New Roman" w:hAnsi="Times New Roman" w:eastAsia="AppleMyungjo"/>
          <w:b w:val="0"/>
          <w:i w:val="0"/>
          <w:spacing w:val="-5"/>
          <w:w w:val="95"/>
          <w:sz w:val="17"/>
        </w:rPr>
        <w:t>, Vol.13, No.3, e0194889,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[21] Y. Wang et al., "TimeXer: Empowering transformers for time series forecasting with exogenous variables,"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2024.</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[22] F. X. Diebold and R. S. Mariano, "Comparing predictive accuracy," </w:t>
      </w:r>
      <w:r>
        <w:rPr>
          <w:rFonts w:ascii="Times New Roman" w:hAnsi="Times New Roman" w:eastAsia="AppleMyungjo"/>
          <w:b w:val="0"/>
          <w:i/>
          <w:spacing w:val="-5"/>
          <w:w w:val="95"/>
          <w:sz w:val="17"/>
        </w:rPr>
        <w:t>Journal of Business &amp; Economic Statistics</w:t>
      </w:r>
      <w:r>
        <w:rPr>
          <w:rFonts w:ascii="Times New Roman" w:hAnsi="Times New Roman" w:eastAsia="AppleMyungjo"/>
          <w:b w:val="0"/>
          <w:i w:val="0"/>
          <w:spacing w:val="-5"/>
          <w:w w:val="95"/>
          <w:sz w:val="17"/>
        </w:rPr>
        <w:t>, Vol.13, No.3, pp.253-263, 1995.</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[23] W. K. Newey and K. D. West, "A simple, positive semi-definite, heteroskedasticity and autocorrelation consistent covariance matrix,"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Vol.55, No.3, pp.703-708, 1987.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[24] D. Harvey, S. Leybourne, and P. Newbold, "Testing the equality of prediction mean squared errors,"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Vol.13, No.2, pp.281-291, 1997.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[25] G. Ke et al., "LightGBM: A highly efficient gradient boosting decision tree,"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pp.3146-3154,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[26] F. Pedregosa et al., "Scikit-learn: Machine learning in Python,"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Vol.12, pp.2825-2830, 2011.</w:t>
      </w: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36526"/>
                  <wp:docPr id="3" name="Picture 3"/>
                  <wp:cNvGraphicFramePr>
                    <a:graphicFrameLocks noChangeAspect="1"/>
                  </wp:cNvGraphicFramePr>
                  <a:graphic>
                    <a:graphicData uri="http://schemas.openxmlformats.org/drawingml/2006/picture">
                      <pic:pic>
                        <pic:nvPicPr>
                          <pic:cNvPr id="0" name="author_parksungjun.png"/>
                          <pic:cNvPicPr/>
                        </pic:nvPicPr>
                        <pic:blipFill>
                          <a:blip r:embed="rId11"/>
                          <a:stretch>
                            <a:fillRect/>
                          </a:stretch>
                        </pic:blipFill>
                        <pic:spPr>
                          <a:xfrm>
                            <a:off x="0" y="0"/>
                            <a:ext cx="900000" cy="1136526"/>
                          </a:xfrm>
                          <a:prstGeom prst="rect"/>
                        </pic:spPr>
                      </pic:pic>
                    </a:graphicData>
                  </a:graphic>
                </wp:inline>
              </w:drawing>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박 성 준</w:t>
            </w:r>
          </w:p>
          <w:p>
            <w:pPr>
              <w:autoSpaceDE w:val="0"/>
              <w:autoSpaceDN w:val="0"/>
              <w:spacing w:after="20" w:before="0" w:line="272" w:lineRule="exact"/>
            </w:pPr>
            <w:r>
              <w:rPr>
                <w:rFonts w:ascii="Times New Roman" w:hAnsi="Times New Roman" w:eastAsia="AppleMyungjo"/>
                <w:b w:val="0"/>
                <w:i w:val="0"/>
                <w:spacing w:val="-5"/>
                <w:w w:val="95"/>
                <w:sz w:val="17"/>
              </w:rPr>
              <w:t>https://orcid.org/0009-0004-9626-5165</w:t>
            </w:r>
          </w:p>
          <w:p>
            <w:pPr>
              <w:autoSpaceDE w:val="0"/>
              <w:autoSpaceDN w:val="0"/>
              <w:spacing w:after="20" w:before="0" w:line="272" w:lineRule="exact"/>
            </w:pPr>
            <w:r>
              <w:rPr>
                <w:rFonts w:ascii="Times New Roman" w:hAnsi="Times New Roman" w:eastAsia="AppleMyungjo"/>
                <w:b w:val="0"/>
                <w:i w:val="0"/>
                <w:spacing w:val="-5"/>
                <w:w w:val="95"/>
                <w:sz w:val="17"/>
              </w:rPr>
              <w:t>e-mail : appop001@naver.com</w:t>
            </w:r>
          </w:p>
          <w:p>
            <w:pPr>
              <w:autoSpaceDE w:val="0"/>
              <w:autoSpaceDN w:val="0"/>
              <w:spacing w:after="20" w:before="0" w:line="272" w:lineRule="exact"/>
            </w:pPr>
            <w:r>
              <w:rPr>
                <w:rFonts w:ascii="Times New Roman" w:hAnsi="Times New Roman" w:eastAsia="AppleMyungjo"/>
                <w:b w:val="0"/>
                <w:i w:val="0"/>
                <w:spacing w:val="-5"/>
                <w:w w:val="95"/>
                <w:sz w:val="17"/>
              </w:rPr>
              <w:t>2021년～현  재 동아대학교 컴퓨터공학과 학사과정</w:t>
            </w:r>
          </w:p>
          <w:p>
            <w:pPr>
              <w:autoSpaceDE w:val="0"/>
              <w:autoSpaceDN w:val="0"/>
              <w:spacing w:after="20" w:before="0" w:line="272" w:lineRule="exact"/>
            </w:pPr>
            <w:r>
              <w:rPr>
                <w:rFonts w:ascii="Times New Roman" w:hAnsi="Times New Roman" w:eastAsia="AppleMyungjo"/>
                <w:b w:val="0"/>
                <w:i w:val="0"/>
                <w:spacing w:val="-5"/>
                <w:w w:val="95"/>
                <w:sz w:val="17"/>
              </w:rPr>
              <w:t>관심분야 : Time-Series Forecasting, Quantile Regression, Deep Learning, Algorithmic Trading</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213483"/>
                  <wp:docPr id="4" name="Picture 4"/>
                  <wp:cNvGraphicFramePr>
                    <a:graphicFrameLocks noChangeAspect="1"/>
                  </wp:cNvGraphicFramePr>
                  <a:graphic>
                    <a:graphicData uri="http://schemas.openxmlformats.org/drawingml/2006/picture">
                      <pic:pic>
                        <pic:nvPicPr>
                          <pic:cNvPr id="0" name="author_kimjimin.jpeg"/>
                          <pic:cNvPicPr/>
                        </pic:nvPicPr>
                        <pic:blipFill>
                          <a:blip r:embed="rId12"/>
                          <a:stretch>
                            <a:fillRect/>
                          </a:stretch>
                        </pic:blipFill>
                        <pic:spPr>
                          <a:xfrm>
                            <a:off x="0" y="0"/>
                            <a:ext cx="900000" cy="1213483"/>
                          </a:xfrm>
                          <a:prstGeom prst="rect"/>
                        </pic:spPr>
                      </pic:pic>
                    </a:graphicData>
                  </a:graphic>
                </wp:inline>
              </w:drawing>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김 지 민</w:t>
            </w:r>
          </w:p>
          <w:p>
            <w:pPr>
              <w:autoSpaceDE w:val="0"/>
              <w:autoSpaceDN w:val="0"/>
              <w:spacing w:after="20" w:before="0" w:line="272" w:lineRule="exact"/>
            </w:pPr>
            <w:r>
              <w:rPr>
                <w:rFonts w:ascii="Times New Roman" w:hAnsi="Times New Roman" w:eastAsia="AppleMyungjo"/>
                <w:b w:val="0"/>
                <w:i w:val="0"/>
                <w:spacing w:val="-5"/>
                <w:w w:val="95"/>
                <w:sz w:val="17"/>
              </w:rPr>
              <w:t>https://orcid.org/0009-0004-4645-227X</w:t>
            </w:r>
          </w:p>
          <w:p>
            <w:pPr>
              <w:autoSpaceDE w:val="0"/>
              <w:autoSpaceDN w:val="0"/>
              <w:spacing w:after="20" w:before="0" w:line="272" w:lineRule="exact"/>
            </w:pPr>
            <w:r>
              <w:rPr>
                <w:rFonts w:ascii="Times New Roman" w:hAnsi="Times New Roman" w:eastAsia="AppleMyungjo"/>
                <w:b w:val="0"/>
                <w:i w:val="0"/>
                <w:spacing w:val="-5"/>
                <w:w w:val="95"/>
                <w:sz w:val="17"/>
              </w:rPr>
              <w:t>e-mail : bckck@naver.com</w:t>
            </w:r>
          </w:p>
          <w:p>
            <w:pPr>
              <w:autoSpaceDE w:val="0"/>
              <w:autoSpaceDN w:val="0"/>
              <w:spacing w:after="20" w:before="0" w:line="272" w:lineRule="exact"/>
            </w:pPr>
            <w:r>
              <w:rPr>
                <w:rFonts w:ascii="Times New Roman" w:hAnsi="Times New Roman" w:eastAsia="AppleMyungjo"/>
                <w:b w:val="0"/>
                <w:i w:val="0"/>
                <w:spacing w:val="-5"/>
                <w:w w:val="95"/>
                <w:sz w:val="17"/>
              </w:rPr>
              <w:t>2020년～현  재 동아대학교 컴퓨터공학과 학사과정</w:t>
            </w:r>
          </w:p>
          <w:p>
            <w:pPr>
              <w:autoSpaceDE w:val="0"/>
              <w:autoSpaceDN w:val="0"/>
              <w:spacing w:after="20" w:before="0" w:line="272" w:lineRule="exact"/>
            </w:pPr>
            <w:r>
              <w:rPr>
                <w:rFonts w:ascii="Times New Roman" w:hAnsi="Times New Roman" w:eastAsia="AppleMyungjo"/>
                <w:b w:val="0"/>
                <w:i w:val="0"/>
                <w:spacing w:val="-5"/>
                <w:w w:val="95"/>
                <w:sz w:val="17"/>
              </w:rPr>
              <w:t>관심분야 : Deep Learning, Financial Time-Series Analysis, Uncertainty Estimation</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57312"/>
                  <wp:docPr id="5" name="Picture 5"/>
                  <wp:cNvGraphicFramePr>
                    <a:graphicFrameLocks noChangeAspect="1"/>
                  </wp:cNvGraphicFramePr>
                  <a:graphic>
                    <a:graphicData uri="http://schemas.openxmlformats.org/drawingml/2006/picture">
                      <pic:pic>
                        <pic:nvPicPr>
                          <pic:cNvPr id="0" name="author_kwonohjae.jpeg"/>
                          <pic:cNvPicPr/>
                        </pic:nvPicPr>
                        <pic:blipFill>
                          <a:blip r:embed="rId13"/>
                          <a:stretch>
                            <a:fillRect/>
                          </a:stretch>
                        </pic:blipFill>
                        <pic:spPr>
                          <a:xfrm>
                            <a:off x="0" y="0"/>
                            <a:ext cx="900000" cy="1157312"/>
                          </a:xfrm>
                          <a:prstGeom prst="rect"/>
                        </pic:spPr>
                      </pic:pic>
                    </a:graphicData>
                  </a:graphic>
                </wp:inline>
              </w:drawing>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권 오 재</w:t>
            </w:r>
          </w:p>
          <w:p>
            <w:pPr>
              <w:autoSpaceDE w:val="0"/>
              <w:autoSpaceDN w:val="0"/>
              <w:spacing w:after="20" w:before="0" w:line="272" w:lineRule="exact"/>
            </w:pPr>
            <w:r>
              <w:rPr>
                <w:rFonts w:ascii="Times New Roman" w:hAnsi="Times New Roman" w:eastAsia="AppleMyungjo"/>
                <w:b w:val="0"/>
                <w:i w:val="0"/>
                <w:spacing w:val="-5"/>
                <w:w w:val="95"/>
                <w:sz w:val="17"/>
              </w:rPr>
              <w:t>https://orcid.org/0009-0002-9537-5317</w:t>
            </w:r>
          </w:p>
          <w:p>
            <w:pPr>
              <w:autoSpaceDE w:val="0"/>
              <w:autoSpaceDN w:val="0"/>
              <w:spacing w:after="20" w:before="0" w:line="272" w:lineRule="exact"/>
            </w:pPr>
            <w:r>
              <w:rPr>
                <w:rFonts w:ascii="Times New Roman" w:hAnsi="Times New Roman" w:eastAsia="AppleMyungjo"/>
                <w:b w:val="0"/>
                <w:i w:val="0"/>
                <w:spacing w:val="-5"/>
                <w:w w:val="95"/>
                <w:sz w:val="17"/>
              </w:rPr>
              <w:t>e-mail : rnjsdhwo4@naver.com</w:t>
            </w:r>
          </w:p>
          <w:p>
            <w:pPr>
              <w:autoSpaceDE w:val="0"/>
              <w:autoSpaceDN w:val="0"/>
              <w:spacing w:after="20" w:before="0" w:line="272" w:lineRule="exact"/>
            </w:pPr>
            <w:r>
              <w:rPr>
                <w:rFonts w:ascii="Times New Roman" w:hAnsi="Times New Roman" w:eastAsia="AppleMyungjo"/>
                <w:b w:val="0"/>
                <w:i w:val="0"/>
                <w:spacing w:val="-5"/>
                <w:w w:val="95"/>
                <w:sz w:val="17"/>
              </w:rPr>
              <w:t>2021년～현  재 동아대학교 컴퓨터공학과 학사과정</w:t>
            </w:r>
          </w:p>
          <w:p>
            <w:pPr>
              <w:autoSpaceDE w:val="0"/>
              <w:autoSpaceDN w:val="0"/>
              <w:spacing w:after="20" w:before="0" w:line="272" w:lineRule="exact"/>
            </w:pPr>
            <w:r>
              <w:rPr>
                <w:rFonts w:ascii="Times New Roman" w:hAnsi="Times New Roman" w:eastAsia="AppleMyungjo"/>
                <w:b w:val="0"/>
                <w:i w:val="0"/>
                <w:spacing w:val="-5"/>
                <w:w w:val="95"/>
                <w:sz w:val="17"/>
              </w:rPr>
              <w:t>관심분야 : Machine Learning, Time-Series Forecasting, Quantitative Finance</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24732"/>
                  <wp:docPr id="6" name="Picture 6"/>
                  <wp:cNvGraphicFramePr>
                    <a:graphicFrameLocks noChangeAspect="1"/>
                  </wp:cNvGraphicFramePr>
                  <a:graphic>
                    <a:graphicData uri="http://schemas.openxmlformats.org/drawingml/2006/picture">
                      <pic:pic>
                        <pic:nvPicPr>
                          <pic:cNvPr id="0" name="author_songhaeol.jpeg"/>
                          <pic:cNvPicPr/>
                        </pic:nvPicPr>
                        <pic:blipFill>
                          <a:blip r:embed="rId14"/>
                          <a:stretch>
                            <a:fillRect/>
                          </a:stretch>
                        </pic:blipFill>
                        <pic:spPr>
                          <a:xfrm>
                            <a:off x="0" y="0"/>
                            <a:ext cx="900000" cy="1124732"/>
                          </a:xfrm>
                          <a:prstGeom prst="rect"/>
                        </pic:spPr>
                      </pic:pic>
                    </a:graphicData>
                  </a:graphic>
                </wp:inline>
              </w:drawing>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송 하 얼</w:t>
            </w:r>
          </w:p>
          <w:p>
            <w:pPr>
              <w:autoSpaceDE w:val="0"/>
              <w:autoSpaceDN w:val="0"/>
              <w:spacing w:after="20" w:before="0" w:line="272" w:lineRule="exact"/>
            </w:pPr>
            <w:r>
              <w:rPr>
                <w:rFonts w:ascii="Times New Roman" w:hAnsi="Times New Roman" w:eastAsia="AppleMyungjo"/>
                <w:b w:val="0"/>
                <w:i w:val="0"/>
                <w:spacing w:val="-5"/>
                <w:w w:val="95"/>
                <w:sz w:val="17"/>
              </w:rPr>
              <w:t>https://orcid.org/0009-0007-5429-4154</w:t>
            </w:r>
          </w:p>
          <w:p>
            <w:pPr>
              <w:autoSpaceDE w:val="0"/>
              <w:autoSpaceDN w:val="0"/>
              <w:spacing w:after="20" w:before="0" w:line="272" w:lineRule="exact"/>
            </w:pPr>
            <w:r>
              <w:rPr>
                <w:rFonts w:ascii="Times New Roman" w:hAnsi="Times New Roman" w:eastAsia="AppleMyungjo"/>
                <w:b w:val="0"/>
                <w:i w:val="0"/>
                <w:spacing w:val="-5"/>
                <w:w w:val="95"/>
                <w:sz w:val="17"/>
              </w:rPr>
              <w:t>e-mail : haeolsong@gmail.com</w:t>
            </w:r>
          </w:p>
          <w:p>
            <w:pPr>
              <w:autoSpaceDE w:val="0"/>
              <w:autoSpaceDN w:val="0"/>
              <w:spacing w:after="20" w:before="0" w:line="272" w:lineRule="exact"/>
            </w:pPr>
            <w:r>
              <w:rPr>
                <w:rFonts w:ascii="Times New Roman" w:hAnsi="Times New Roman" w:eastAsia="AppleMyungjo"/>
                <w:b w:val="0"/>
                <w:i w:val="0"/>
                <w:spacing w:val="-5"/>
                <w:w w:val="95"/>
                <w:sz w:val="17"/>
              </w:rPr>
              <w:t>2023년～현  재 동아대학교 컴퓨터공학과 학사과정</w:t>
            </w:r>
          </w:p>
          <w:p>
            <w:pPr>
              <w:autoSpaceDE w:val="0"/>
              <w:autoSpaceDN w:val="0"/>
              <w:spacing w:after="20" w:before="0" w:line="272" w:lineRule="exact"/>
            </w:pPr>
            <w:r>
              <w:rPr>
                <w:rFonts w:ascii="Times New Roman" w:hAnsi="Times New Roman" w:eastAsia="AppleMyungjo"/>
                <w:b w:val="0"/>
                <w:i w:val="0"/>
                <w:spacing w:val="-5"/>
                <w:w w:val="95"/>
                <w:sz w:val="17"/>
              </w:rPr>
              <w:t>관심분야 : Deep Learning, Transformer Models, Data Analysis</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autoSpaceDE w:val="0"/>
              <w:autoSpaceDN w:val="0"/>
              <w:spacing w:after="0" w:before="0" w:line="272" w:lineRule="exact"/>
            </w:pPr>
            <w:r>
              <w:rPr>
                <w:rFonts w:ascii="Times New Roman" w:hAnsi="Times New Roman" w:eastAsia="AppleMyungjo"/>
                <w:b w:val="0"/>
                <w:i w:val="0"/>
                <w:spacing w:val="-5"/>
                <w:w w:val="95"/>
                <w:sz w:val="17"/>
              </w:rPr>
              <w:t>[사진]</w:t>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서 정 일</w:t>
            </w:r>
          </w:p>
          <w:p>
            <w:pPr>
              <w:autoSpaceDE w:val="0"/>
              <w:autoSpaceDN w:val="0"/>
              <w:spacing w:after="20" w:before="0" w:line="272" w:lineRule="exact"/>
            </w:pPr>
            <w:r>
              <w:rPr>
                <w:rFonts w:ascii="Times New Roman" w:hAnsi="Times New Roman" w:eastAsia="AppleMyungjo"/>
                <w:b w:val="0"/>
                <w:i w:val="0"/>
                <w:spacing w:val="-5"/>
                <w:w w:val="95"/>
                <w:sz w:val="17"/>
              </w:rPr>
              <w:t>https://orcid.org/0000-0000-0000-0000</w:t>
            </w:r>
          </w:p>
          <w:p>
            <w:pPr>
              <w:autoSpaceDE w:val="0"/>
              <w:autoSpaceDN w:val="0"/>
              <w:spacing w:after="20" w:before="0" w:line="272" w:lineRule="exact"/>
            </w:pPr>
            <w:r>
              <w:rPr>
                <w:rFonts w:ascii="Times New Roman" w:hAnsi="Times New Roman" w:eastAsia="AppleMyungjo"/>
                <w:b w:val="0"/>
                <w:i w:val="0"/>
                <w:spacing w:val="-5"/>
                <w:w w:val="95"/>
                <w:sz w:val="17"/>
              </w:rPr>
              <w:t>e-mail : jeongilseo@dau.ac.kr</w:t>
            </w:r>
          </w:p>
          <w:p>
            <w:pPr>
              <w:autoSpaceDE w:val="0"/>
              <w:autoSpaceDN w:val="0"/>
              <w:spacing w:after="20" w:before="0" w:line="272" w:lineRule="exact"/>
            </w:pPr>
            <w:r>
              <w:rPr>
                <w:rFonts w:ascii="Times New Roman" w:hAnsi="Times New Roman" w:eastAsia="AppleMyungjo"/>
                <w:b w:val="0"/>
                <w:i w:val="0"/>
                <w:spacing w:val="-5"/>
                <w:w w:val="95"/>
                <w:sz w:val="17"/>
              </w:rPr>
              <w:t>20○○년 ○○대학교 ○○학과(학사)</w:t>
            </w:r>
          </w:p>
          <w:p>
            <w:pPr>
              <w:autoSpaceDE w:val="0"/>
              <w:autoSpaceDN w:val="0"/>
              <w:spacing w:after="20" w:before="0" w:line="272" w:lineRule="exact"/>
            </w:pPr>
            <w:r>
              <w:rPr>
                <w:rFonts w:ascii="Times New Roman" w:hAnsi="Times New Roman" w:eastAsia="AppleMyungjo"/>
                <w:b w:val="0"/>
                <w:i w:val="0"/>
                <w:spacing w:val="-5"/>
                <w:w w:val="95"/>
                <w:sz w:val="17"/>
              </w:rPr>
              <w:t>20○○년 ○○대학교 ○○학과(석·박사)</w:t>
            </w:r>
          </w:p>
          <w:p>
            <w:pPr>
              <w:autoSpaceDE w:val="0"/>
              <w:autoSpaceDN w:val="0"/>
              <w:spacing w:after="20" w:before="0" w:line="272" w:lineRule="exact"/>
            </w:pPr>
            <w:r>
              <w:rPr>
                <w:rFonts w:ascii="Times New Roman" w:hAnsi="Times New Roman" w:eastAsia="AppleMyungjo"/>
                <w:b w:val="0"/>
                <w:i w:val="0"/>
                <w:spacing w:val="-5"/>
                <w:w w:val="95"/>
                <w:sz w:val="17"/>
              </w:rPr>
              <w:t>20○○년～현  재 동아대학교 컴퓨터공학과 부교수</w:t>
            </w:r>
          </w:p>
          <w:p>
            <w:pPr>
              <w:autoSpaceDE w:val="0"/>
              <w:autoSpaceDN w:val="0"/>
              <w:spacing w:after="20" w:before="0" w:line="272" w:lineRule="exact"/>
            </w:pPr>
            <w:r>
              <w:rPr>
                <w:rFonts w:ascii="Times New Roman" w:hAnsi="Times New Roman" w:eastAsia="AppleMyungjo"/>
                <w:b w:val="0"/>
                <w:i w:val="0"/>
                <w:spacing w:val="-5"/>
                <w:w w:val="95"/>
                <w:sz w:val="17"/>
              </w:rPr>
              <w:t>관심분야 :</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autoSpaceDE w:val="0"/>
              <w:autoSpaceDN w:val="0"/>
              <w:spacing w:after="0" w:before="0" w:line="272" w:lineRule="exact"/>
            </w:pPr>
            <w:r>
              <w:rPr>
                <w:rFonts w:ascii="Times New Roman" w:hAnsi="Times New Roman" w:eastAsia="AppleMyungjo"/>
                <w:b w:val="0"/>
                <w:i w:val="0"/>
                <w:spacing w:val="-5"/>
                <w:w w:val="95"/>
                <w:sz w:val="17"/>
              </w:rPr>
              <w:t>[사진]</w:t>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유 주 한</w:t>
            </w:r>
          </w:p>
          <w:p>
            <w:pPr>
              <w:autoSpaceDE w:val="0"/>
              <w:autoSpaceDN w:val="0"/>
              <w:spacing w:after="20" w:before="0" w:line="272" w:lineRule="exact"/>
            </w:pPr>
            <w:r>
              <w:rPr>
                <w:rFonts w:ascii="Times New Roman" w:hAnsi="Times New Roman" w:eastAsia="AppleMyungjo"/>
                <w:b w:val="0"/>
                <w:i w:val="0"/>
                <w:spacing w:val="-5"/>
                <w:w w:val="95"/>
                <w:sz w:val="17"/>
              </w:rPr>
              <w:t>https://orcid.org/0000-0000-0000-0000</w:t>
            </w:r>
          </w:p>
          <w:p>
            <w:pPr>
              <w:autoSpaceDE w:val="0"/>
              <w:autoSpaceDN w:val="0"/>
              <w:spacing w:after="20" w:before="0" w:line="272" w:lineRule="exact"/>
            </w:pPr>
            <w:r>
              <w:rPr>
                <w:rFonts w:ascii="Times New Roman" w:hAnsi="Times New Roman" w:eastAsia="AppleMyungjo"/>
                <w:b w:val="0"/>
                <w:i w:val="0"/>
                <w:spacing w:val="-5"/>
                <w:w w:val="95"/>
                <w:sz w:val="17"/>
              </w:rPr>
              <w:t>e-mail : unchinto@dau.ac.kr</w:t>
            </w:r>
          </w:p>
          <w:p>
            <w:pPr>
              <w:autoSpaceDE w:val="0"/>
              <w:autoSpaceDN w:val="0"/>
              <w:spacing w:after="20" w:before="0" w:line="272" w:lineRule="exact"/>
            </w:pPr>
            <w:r>
              <w:rPr>
                <w:rFonts w:ascii="Times New Roman" w:hAnsi="Times New Roman" w:eastAsia="AppleMyungjo"/>
                <w:b w:val="0"/>
                <w:i w:val="0"/>
                <w:spacing w:val="-5"/>
                <w:w w:val="95"/>
                <w:sz w:val="17"/>
              </w:rPr>
              <w:t>20○○년 ○○대학교 ○○학과(학사)</w:t>
            </w:r>
          </w:p>
          <w:p>
            <w:pPr>
              <w:autoSpaceDE w:val="0"/>
              <w:autoSpaceDN w:val="0"/>
              <w:spacing w:after="20" w:before="0" w:line="272" w:lineRule="exact"/>
            </w:pPr>
            <w:r>
              <w:rPr>
                <w:rFonts w:ascii="Times New Roman" w:hAnsi="Times New Roman" w:eastAsia="AppleMyungjo"/>
                <w:b w:val="0"/>
                <w:i w:val="0"/>
                <w:spacing w:val="-5"/>
                <w:w w:val="95"/>
                <w:sz w:val="17"/>
              </w:rPr>
              <w:t>20○○년 ○○대학교 ○○학과(석·박사)</w:t>
            </w:r>
          </w:p>
          <w:p>
            <w:pPr>
              <w:autoSpaceDE w:val="0"/>
              <w:autoSpaceDN w:val="0"/>
              <w:spacing w:after="20" w:before="0" w:line="272" w:lineRule="exact"/>
            </w:pPr>
            <w:r>
              <w:rPr>
                <w:rFonts w:ascii="Times New Roman" w:hAnsi="Times New Roman" w:eastAsia="AppleMyungjo"/>
                <w:b w:val="0"/>
                <w:i w:val="0"/>
                <w:spacing w:val="-5"/>
                <w:w w:val="95"/>
                <w:sz w:val="17"/>
              </w:rPr>
              <w:t>20○○년～현  재 동아대학교 컴퓨터공학과 조교수</w:t>
            </w:r>
          </w:p>
          <w:p>
            <w:pPr>
              <w:autoSpaceDE w:val="0"/>
              <w:autoSpaceDN w:val="0"/>
              <w:spacing w:after="20" w:before="0" w:line="272" w:lineRule="exact"/>
            </w:pPr>
            <w:r>
              <w:rPr>
                <w:rFonts w:ascii="Times New Roman" w:hAnsi="Times New Roman" w:eastAsia="AppleMyungjo"/>
                <w:b w:val="0"/>
                <w:i w:val="0"/>
                <w:spacing w:val="-5"/>
                <w:w w:val="95"/>
                <w:sz w:val="17"/>
              </w:rPr>
              <w:t>관심분야 :</w:t>
            </w:r>
          </w:p>
        </w:tc>
      </w:tr>
    </w:tbl>
    <w:p>
      <w:pPr>
        <w:spacing w:after="80"/>
      </w:pPr>
    </w:p>
    <w:sectPr w:rsidR="00FC693F" w:rsidRPr="0006063C" w:rsidSect="00034616">
      <w:type w:val="continuous"/>
      <w:pgSz w:w="11906" w:h="16838"/>
      <w:pgMar w:top="2013" w:right="1134" w:bottom="1446" w:left="1134" w:header="1446" w:footer="879"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