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 The variable selection network and the cross-attention are design options; removing either did not change the results (Sec. 5.4).</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