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00" w:lineRule="auto"/>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454" w:before="0" w:line="300" w:lineRule="auto"/>
        <w:jc w:val="center"/>
      </w:pPr>
      <w:r>
        <w:rPr>
          <w:rFonts w:ascii="Times New Roman" w:hAnsi="Times New Roman" w:eastAsia="Apple SD Gothic Neo"/>
          <w:b w:val="0"/>
          <w:i w:val="0"/>
          <w:spacing w:val="0"/>
          <w:w w:val="94"/>
          <w:sz w:val="20"/>
        </w:rPr>
        <w:t>Seongjun Park†⋅Jimin Kim†⋅Ohjae Kwon†⋅Haeol Song†⋅Jeongil Seo††⋅Juhan Yoo†††</w:t>
      </w:r>
    </w:p>
    <w:p>
      <w:pPr>
        <w:autoSpaceDE w:val="0"/>
        <w:autoSpaceDN w:val="0"/>
        <w:spacing w:after="284" w:before="0" w:line="300" w:lineRule="auto"/>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Point accuracy at the median matches a constant baseline, so the model adds not a sharper forecast but a signal of when not to act on one.</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300" w:lineRule="auto"/>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454" w:before="0" w:line="300" w:lineRule="auto"/>
        <w:jc w:val="center"/>
      </w:pPr>
      <w:r>
        <w:rPr>
          <w:rFonts w:ascii="Times New Roman" w:hAnsi="Times New Roman" w:eastAsia="Apple SD Gothic Neo"/>
          <w:b w:val="0"/>
          <w:i w:val="0"/>
          <w:spacing w:val="0"/>
          <w:w w:val="94"/>
          <w:sz w:val="20"/>
        </w:rPr>
        <w:t>박 성 준†⋅김 지 민†⋅권 오 재†⋅송 하 얼†⋅서 정 일††⋅유 주 한†††</w:t>
      </w:r>
    </w:p>
    <w:p>
      <w:pPr>
        <w:autoSpaceDE w:val="0"/>
        <w:autoSpaceDN w:val="0"/>
        <w:spacing w:after="284" w:before="0" w:line="300" w:lineRule="auto"/>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분위 손실을 보이면서 학습은 3.8배, 추론은 4.8배 빨랐다. 기권은 변동성이 큰 시기에 집중되었으며, 기권한 예측의 오차는 실행된 예측의 약 1.5배였다. 이는 최근 변동성만 보고 기권하는 단순 규칙보다 큰 오차를 더 잘 걸러낸 결과이다. 같은 표본으로 학습한 분위 그래디언트 부스팅 기준모형은 계산 비용이 더 낮고 기권 품질도 대등하였으므로, 제안 모형이 그 기준모형보다 나은 점은 비용이 아니라 정확도이다. 중앙값의 점 예측 정확도는 상수 기준선과 다르지 않으므로, 제안 모형이 더하는 것은 더 정확한 예측값이 아니라 그 예측에 따라 움직이지 말아야 할 시점이다.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기권</w:t>
      </w:r>
    </w:p>
    <w:p>
      <w:pPr>
        <w:framePr w:w="4592" w:hRule="auto" w:wrap="around" w:vSpace="160" w:vAnchor="margin" w:hAnchor="margin" w:xAlign="left" w:yAlign="bottom"/>
        <w:pBdr>
          <w:top w:val="single" w:sz="6" w:space="4" w:color="000000"/>
        </w:pBdr>
        <w:autoSpaceDE w:val="0"/>
        <w:autoSpaceDN w:val="0"/>
        <w:spacing w:after="20" w:before="0" w:line="168" w:lineRule="exact"/>
      </w:pPr>
      <w:r>
        <w:rPr>
          <w:rFonts w:ascii="Times New Roman" w:hAnsi="Times New Roman" w:eastAsia="AppleMyungjo"/>
          <w:b w:val="0"/>
          <w:i w:val="0"/>
          <w:spacing w:val="-7"/>
          <w:w w:val="95"/>
          <w:sz w:val="14"/>
        </w:rPr>
        <w:t>† 비 회 원 : 동아대학교 컴퓨터공학과 학부생</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부교수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조교수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Manuscript Received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First Revision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Accepted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Corresponding Authors : Jeongil Seo(jeongilseo@dau.ac.kr), Juhan Yoo(unchinto@dau.ac.kr)</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00" w:lineRule="auto"/>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 비용이 낮아야 하고, 실질적 독립 사건이 적은 자료라 모형을 키울 수도 없다. 분위 예측을 제공하는 Temporal Fusion Transformer(TFT)는 모든 시점에서 어텐션을 수행하므로 이 제약과 충돌한다.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이에 대한 본 연구의 기여는 세 가지이다. 첫째, 채널 축을 인코더 앞에서 하나로 합쳐 분위 예측 트랜스포머의 학습·추론 비용을 TFT의 약 4분의 1로 낮추면서 예측 손실은 더 낮추었다. 둘째, 예측 구간의 폭을 기준으로 한 기권이 최근 변동성만 쓰는 규칙보다 큰 오차를 더 잘 걸러낸다는 것을, 기권율을 맞춘 비교로 보였다. 셋째, 같은 분할과 같은 윈도우 표본 위에서 무조건부 분위수 상수와 분위 그래디언트 부스팅을 함께 측정하여, 구조에서 오는 이득과 그렇지 않은 부분을 구분하였다.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keepNext/>
        <w:autoSpaceDE w:val="0"/>
        <w:autoSpaceDN w:val="0"/>
        <w:spacing w:after="280" w:before="360" w:line="300" w:lineRule="auto"/>
      </w:pPr>
      <w:r>
        <w:rPr>
          <w:rFonts w:ascii="Times New Roman" w:hAnsi="Times New Roman" w:eastAsia="Apple SD Gothic Neo"/>
          <w:b/>
          <w:i w:val="0"/>
          <w:spacing w:val="0"/>
          <w:w w:val="97"/>
          <w:sz w:val="20"/>
        </w:rPr>
        <w:t>2. 관련 연구</w:t>
      </w:r>
    </w:p>
    <w:p>
      <w:pPr>
        <w:keepNext/>
        <w:autoSpaceDE w:val="0"/>
        <w:autoSpaceDN w:val="0"/>
        <w:spacing w:after="20" w:before="0" w:line="300" w:lineRule="auto"/>
      </w:pPr>
      <w:r>
        <w:rPr>
          <w:rFonts w:ascii="Times New Roman" w:hAnsi="Times New Roman" w:eastAsia="Apple SD Gothic Neo"/>
          <w:b/>
          <w:i w:val="0"/>
          <w:spacing w:val="-9"/>
          <w:w w:val="95"/>
          <w:sz w:val="18"/>
        </w:rPr>
        <w:t>2.1 패치 기반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AppleMyungjo"/>
          <w:b w:val="0"/>
          <w:i/>
          <w:spacing w:val="-5"/>
          <w:w w:val="100"/>
          <w:sz w:val="18"/>
        </w:rPr>
        <w:t>L</w:t>
      </w:r>
      <w:r>
        <w:rPr>
          <w:rFonts w:ascii="Times New Roman" w:hAnsi="Times New Roman" w:eastAsia="AppleMyungjo"/>
          <w:b w:val="0"/>
          <w:i w:val="0"/>
          <w:spacing w:val="-5"/>
          <w:w w:val="100"/>
          <w:sz w:val="18"/>
        </w:rPr>
        <w:t>의 입력을 ⌈</w:t>
      </w:r>
      <w:r>
        <w:rPr>
          <w:rFonts w:ascii="Times New Roman" w:hAnsi="Times New Roman" w:eastAsia="AppleMyungjo"/>
          <w:b w:val="0"/>
          <w:i/>
          <w:spacing w:val="-5"/>
          <w:w w:val="100"/>
          <w:sz w:val="18"/>
        </w:rPr>
        <w:t>L</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S</w:t>
      </w:r>
      <w:r>
        <w:rPr>
          <w:rFonts w:ascii="Times New Roman" w:hAnsi="Times New Roman" w:eastAsia="AppleMyungjo"/>
          <w:b w:val="0"/>
          <w:i w:val="0"/>
          <w:spacing w:val="-5"/>
          <w:w w:val="10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keepNext/>
        <w:autoSpaceDE w:val="0"/>
        <w:autoSpaceDN w:val="0"/>
        <w:spacing w:after="20" w:before="0" w:line="300" w:lineRule="auto"/>
      </w:pPr>
      <w:r>
        <w:rPr>
          <w:rFonts w:ascii="Times New Roman" w:hAnsi="Times New Roman" w:eastAsia="Apple SD Gothic Neo"/>
          <w:b/>
          <w:i w:val="0"/>
          <w:spacing w:val="-9"/>
          <w:w w:val="95"/>
          <w:sz w:val="18"/>
        </w:rPr>
        <w:t>2.2 분위 예측과 변수선택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채택하지 않았다.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keepNext/>
        <w:autoSpaceDE w:val="0"/>
        <w:autoSpaceDN w:val="0"/>
        <w:spacing w:after="20" w:before="0" w:line="300" w:lineRule="auto"/>
      </w:pPr>
      <w:r>
        <w:rPr>
          <w:rFonts w:ascii="Times New Roman" w:hAnsi="Times New Roman" w:eastAsia="Apple SD Gothic Neo"/>
          <w:b/>
          <w:i w:val="0"/>
          <w:spacing w:val="-9"/>
          <w:w w:val="95"/>
          <w:sz w:val="18"/>
        </w:rPr>
        <w:t>2.3 분포 이동 정규화와 분위 회귀</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RevIN(reversible instance normalization)[11]은 입력 윈도우별 인스턴스 정규화를 적용하고 출력에서 역변환한다. 종목과 시대에 따라 가격 수준의 의미가 달라지는 자료에서는 선택 사항이 아니라 필수 요소이다. 본 연구는 이를 선별적으로 적용하였다. 횡단면 순위 채널은 정보가 전적으로 수준에 담겨 있어 윈도우 내 표준화가 그 정보를 소거하기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분위회귀[12]를 신경망 출력에 적용한 것이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keepNext/>
        <w:autoSpaceDE w:val="0"/>
        <w:autoSpaceDN w:val="0"/>
        <w:spacing w:after="20" w:before="0" w:line="300" w:lineRule="auto"/>
      </w:pPr>
      <w:r>
        <w:rPr>
          <w:rFonts w:ascii="Times New Roman" w:hAnsi="Times New Roman" w:eastAsia="Apple SD Gothic Neo"/>
          <w:b/>
          <w:i w:val="0"/>
          <w:spacing w:val="-9"/>
          <w:w w:val="95"/>
          <w:sz w:val="18"/>
        </w:rPr>
        <w:t>2.4 선택적 예측과 기권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모형이 일부 입력에 대해 답을 내지 않는 선택지는 기각 옵션(reject option)으로 형식화되어 있다[14]. 오분류 비용과 기각 비용의 교환관계로 최적 기각 영역을 정의한 이 틀은 이후 선택적 예측(selective prediction)으로 일반화되어, 적용률과 적용된 표본에서의 위험을 함께 보고하는 평가 방식으로 자리잡았고[15], 심층 신경망에서는 선택 함수를 별도 헤드로 학습하는 방법이 제안되었다[16]. 본 연구의 기권은 이들과 두 가지 점에서 다르다. 첫째, 분류가 아니라 회귀이므로 선택 점수가 확률이 아니라 예측 구간의 폭이다. 둘째, 선택 함수를 따로 학습하지 않고 이미 산출된 분위 예측에서 파생되므로 모형에 추가 비용이 들지 않는다. 대신 기권율이 학습으로 최적화되지 않고 임계값으로 정해지므로, 임계값 선택이 결과에 미치는 영향을 5.3절에서 따로 확인한다.</w:t>
      </w:r>
    </w:p>
    <w:p>
      <w:pPr>
        <w:keepNext/>
        <w:autoSpaceDE w:val="0"/>
        <w:autoSpaceDN w:val="0"/>
        <w:spacing w:after="20" w:before="0" w:line="300" w:lineRule="auto"/>
      </w:pPr>
      <w:r>
        <w:rPr>
          <w:rFonts w:ascii="Times New Roman" w:hAnsi="Times New Roman" w:eastAsia="Apple SD Gothic Neo"/>
          <w:b/>
          <w:i w:val="0"/>
          <w:spacing w:val="-9"/>
          <w:w w:val="95"/>
          <w:sz w:val="18"/>
        </w:rPr>
        <w:t>2.5 기준 모형과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1장에서 언급한 금융 시계열 딥러닝 연구[1] 가운데, 장단기기억 신경망으로 미국 주식의 방향을 예측한 연구[17]와 다수의 머신러닝 기법을 자산가격 결정에 적용한 연구[18]가 대표적이다. 국내에서는 해외지수와 투자자별 매매 동향을 입력으로 삼은 등락 예측[2], 가중 손실 함수를 적용한 순환 합성곱 구조[19]가 보고되었다. 본 연구는 [2]와 마찬가지로 해외지수와 투자자 수급을 입력에 포함하되, 예측을 점이 아니라 분포로 산출한다는 점이 다르다.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잘 조정된 단순 기준모형과의 비교가 부재하여 개선폭이 과장되기 쉽다는 지적은 예측 문헌에서 반복되어 왔으므로[20], 본 연구는 동일 조건의 그래디언트 부스팅 결정트리(gradient boosting decision tree, GBDT) 기준모형을 함께 측정하여 5장에 보고한다.</w:t>
      </w:r>
    </w:p>
    <w:p>
      <w:pPr>
        <w:keepNext/>
        <w:autoSpaceDE w:val="0"/>
        <w:autoSpaceDN w:val="0"/>
        <w:spacing w:after="280" w:before="360" w:line="300" w:lineRule="auto"/>
      </w:pPr>
      <w:r>
        <w:rPr>
          <w:rFonts w:ascii="Times New Roman" w:hAnsi="Times New Roman" w:eastAsia="Apple SD Gothic Neo"/>
          <w:b/>
          <w:i w:val="0"/>
          <w:spacing w:val="0"/>
          <w:w w:val="97"/>
          <w:sz w:val="20"/>
        </w:rPr>
        <w:t>3. 연구 방법</w:t>
      </w:r>
    </w:p>
    <w:p>
      <w:pPr>
        <w:keepNext/>
        <w:autoSpaceDE w:val="0"/>
        <w:autoSpaceDN w:val="0"/>
        <w:spacing w:after="20" w:before="0" w:line="300" w:lineRule="auto"/>
      </w:pPr>
      <w:r>
        <w:rPr>
          <w:rFonts w:ascii="Times New Roman" w:hAnsi="Times New Roman" w:eastAsia="Apple SD Gothic Neo"/>
          <w:b/>
          <w:i w:val="0"/>
          <w:spacing w:val="-9"/>
          <w:w w:val="95"/>
          <w:sz w:val="18"/>
        </w:rPr>
        <w:t>3.1 요구사항으로부터의 구조 도출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연구의 구성요소는 모두 &lt;Table 1&gt;의 좌측 요구사항으로부터 역산되었다.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distribution, not a point: q90 - q10 must exist</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head,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Cost: 120-day lookback x 201 stocks, daily</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Sequence-length reduction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 tokenization (120 to 24)</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Cost: channel-independent encoding repeats the encoder</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Channel-axis reduction before the encoder</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variable selection network (vs. linear merge, Sec. 5.4)</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Non-stationary normalization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Exogenous sequence injection</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bl>
    <w:p>
      <w:pPr>
        <w:spacing w:after="80"/>
      </w:pPr>
    </w:p>
    <w:p>
      <w:pPr>
        <w:keepNext/>
        <w:autoSpaceDE w:val="0"/>
        <w:autoSpaceDN w:val="0"/>
        <w:spacing w:after="20" w:before="0" w:line="300" w:lineRule="auto"/>
      </w:pPr>
      <w:r>
        <w:rPr>
          <w:rFonts w:ascii="Times New Roman" w:hAnsi="Times New Roman" w:eastAsia="Apple SD Gothic Neo"/>
          <w:b/>
          <w:i w:val="0"/>
          <w:spacing w:val="-9"/>
          <w:w w:val="95"/>
          <w:sz w:val="18"/>
        </w:rPr>
        <w:t>3.2 제안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6325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63250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keepNext/>
        <w:autoSpaceDE w:val="0"/>
        <w:autoSpaceDN w:val="0"/>
        <w:spacing w:after="20" w:before="0" w:line="300" w:lineRule="auto"/>
      </w:pPr>
      <w:r>
        <w:rPr>
          <w:rFonts w:ascii="Times New Roman" w:hAnsi="Times New Roman" w:eastAsia="Apple SD Gothic Neo"/>
          <w:b/>
          <w:i w:val="0"/>
          <w:spacing w:val="-9"/>
          <w:w w:val="95"/>
          <w:sz w:val="18"/>
        </w:rPr>
        <w:t>3.3 결합 과정의 설계 결정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기권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패치 임베딩은 각 채널을 독립적으로 24개 토큰으로 변환한다. 채널 축을 줄이는 데 연산이 가장 적은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AppleMyungjo"/>
          <w:b w:val="0"/>
          <w:i/>
          <w:spacing w:val="-5"/>
          <w:w w:val="100"/>
          <w:sz w:val="18"/>
        </w:rPr>
        <w:t>v</w:t>
      </w:r>
      <w:r>
        <w:rPr>
          <w:rFonts w:ascii="Times New Roman" w:hAnsi="Times New Roman" w:eastAsia="AppleMyungjo"/>
          <w:b w:val="0"/>
          <w:i w:val="0"/>
          <w:spacing w:val="-5"/>
          <w:w w:val="100"/>
          <w:sz w:val="18"/>
        </w:rPr>
        <w:t xml:space="preserve"> ∈ ℝ</w:t>
      </w:r>
      <w:r>
        <w:rPr>
          <w:rFonts w:ascii="Times New Roman" w:hAnsi="Times New Roman" w:eastAsia="AppleMyungjo"/>
          <w:b w:val="0"/>
          <w:i/>
          <w:spacing w:val="-5"/>
          <w:w w:val="100"/>
          <w:sz w:val="18"/>
          <w:vertAlign w:val="superscript"/>
        </w:rPr>
        <w:t>N×C</w:t>
      </w:r>
      <w:r>
        <w:rPr>
          <w:rFonts w:ascii="Times New Roman" w:hAnsi="Times New Roman" w:eastAsia="AppleMyungjo"/>
          <w:b w:val="0"/>
          <w:i w:val="0"/>
          <w:spacing w:val="-5"/>
          <w:w w:val="100"/>
          <w:sz w:val="18"/>
        </w:rPr>
        <w:t>는 각 채널의 사용 비중으로 남으나 본 연구는 이 값을 매매 근거로 제시하지 않는다. 종목 채널까지 선형 합치기로 바꾼 변형은 모수가 0.117M으로 줄면서도 정확도와 기권 행태가 같았다(5.4절). 인코더 앞에서 채널을 하나로 합치는 것이 비용 절감의 원인이며, 게이트는 그 이상의 정확도를 더하지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지표를 주입하는 크로스어텐션 모듈은 본 연구에서 직접 설계하였다. 외생변수를 어텐션으로 주입하는 발상 자체는 새롭지 않다. TimeXer[21]가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autoSpaceDE w:val="0"/>
        <w:autoSpaceDN w:val="0"/>
        <w:spacing w:after="80" w:before="0" w:line="280" w:lineRule="exact"/>
        <w:jc w:val="center"/>
      </w:pPr>
      <w:r>
        <w:rPr>
          <w:rFonts w:ascii="Times New Roman" w:hAnsi="Times New Roman" w:eastAsia="AppleMyungjo"/>
          <w:b w:val="0"/>
          <w:i w:val="0"/>
          <w:spacing w:val="-5"/>
          <w:w w:val="100"/>
          <w:sz w:val="18"/>
        </w:rPr>
        <w:t>CrossAttn(</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 softmax[ (</w:t>
      </w:r>
      <w:r>
        <w:rPr>
          <w:rFonts w:ascii="Times New Roman" w:hAnsi="Times New Roman" w:eastAsia="AppleMyungjo"/>
          <w:b w:val="0"/>
          <w:i/>
          <w:spacing w:val="-5"/>
          <w:w w:val="100"/>
          <w:sz w:val="18"/>
        </w:rPr>
        <w:t>Z 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vertAlign w:val="superscript"/>
        </w:rPr>
        <w:t>T</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는 종목 표현,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은 매크로 부호화,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xml:space="preserve">는 투영 행렬,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는 키의 차원이다. 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헤드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5).</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헤드 마지막 선형층의 세 출력이다. 교차가 발생하면 기권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300" w:lineRule="auto"/>
      </w:pPr>
      <w:r>
        <w:rPr>
          <w:rFonts w:ascii="Times New Roman" w:hAnsi="Times New Roman" w:eastAsia="Apple SD Gothic Neo"/>
          <w:b/>
          <w:i w:val="0"/>
          <w:spacing w:val="-9"/>
          <w:w w:val="95"/>
          <w:sz w:val="18"/>
        </w:rPr>
        <w:t>3.4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2.3절에서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00" w:lineRule="auto"/>
      </w:pPr>
      <w:r>
        <w:rPr>
          <w:rFonts w:ascii="Times New Roman" w:hAnsi="Times New Roman" w:eastAsia="Apple SD Gothic Neo"/>
          <w:b/>
          <w:i w:val="0"/>
          <w:spacing w:val="0"/>
          <w:w w:val="97"/>
          <w:sz w:val="20"/>
        </w:rPr>
        <w:t>4. 자료와 실험 설계</w:t>
      </w:r>
    </w:p>
    <w:p>
      <w:pPr>
        <w:keepNext/>
        <w:autoSpaceDE w:val="0"/>
        <w:autoSpaceDN w:val="0"/>
        <w:spacing w:after="20" w:before="0" w:line="300" w:lineRule="auto"/>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keepNext/>
        <w:autoSpaceDE w:val="0"/>
        <w:autoSpaceDN w:val="0"/>
        <w:spacing w:after="20" w:before="0" w:line="300" w:lineRule="auto"/>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(6)</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300" w:lineRule="auto"/>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시험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0" w:before="0" w:line="300" w:lineRule="auto"/>
      </w:pPr>
      <w:r>
        <w:rPr>
          <w:rFonts w:ascii="Times New Roman" w:hAnsi="Times New Roman" w:eastAsia="Apple SD Gothic Neo"/>
          <w:b/>
          <w:i w:val="0"/>
          <w:spacing w:val="-9"/>
          <w:w w:val="95"/>
          <w:sz w:val="18"/>
        </w:rPr>
        <w:t>4.4 기권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동일한 규칙을 적용한다. 예측 구간의 폭이 최근 분포의 95분위를 넘으면 기권한다. 이 분위를 고른 근거와 바꿨을 때의 영향은 5.3절에서 따로 다룬다.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keepNext/>
        <w:autoSpaceDE w:val="0"/>
        <w:autoSpaceDN w:val="0"/>
        <w:spacing w:after="280" w:before="360" w:line="300" w:lineRule="auto"/>
      </w:pPr>
      <w:r>
        <w:rPr>
          <w:rFonts w:ascii="Times New Roman" w:hAnsi="Times New Roman" w:eastAsia="Apple SD Gothic Neo"/>
          <w:b/>
          <w:i w:val="0"/>
          <w:spacing w:val="0"/>
          <w:w w:val="97"/>
          <w:sz w:val="20"/>
        </w:rPr>
        <w:t>5. 실험 결과</w:t>
      </w:r>
    </w:p>
    <w:p>
      <w:pPr>
        <w:keepNext/>
        <w:autoSpaceDE w:val="0"/>
        <w:autoSpaceDN w:val="0"/>
        <w:spacing w:after="20" w:before="0" w:line="300" w:lineRule="auto"/>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0.001, 0.009, 0.003, &lt; 0.001) 122거래일의 검증구간에서는 다섯 시드 모두 유의하지 않다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 헤드만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 헤드만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300" w:lineRule="auto"/>
      </w:pPr>
      <w:r>
        <w:rPr>
          <w:rFonts w:ascii="Times New Roman" w:hAnsi="Times New Roman" w:eastAsia="Apple SD Gothic Neo"/>
          <w:b/>
          <w:i w:val="0"/>
          <w:spacing w:val="-9"/>
          <w:w w:val="95"/>
          <w:sz w:val="18"/>
        </w:rPr>
        <w:t>5.2 계산 비용</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측정 방법은 다음과 같다. epoch당 시간은 40배치의 학습 스텝 시간 중앙값에, 4.3절의 학습 윈도우 264,653건이 만드는 4,135배치를 곱한 값이다. 전 종목 1회 통과는 201종목에 대한 순전파 21회의 중앙값이고, 종목당 지연시간은 그 값을 201로 나눈 것이지 따로 측정한 값이 아니다. 활성값은 역전파 그래프를 남기는 순전파가 추가로 할당한 장치 메모리이며, 독립적인 두 번의 측정이 0.8% 안에서 일치하였다. 분위 GBDT의 전 종목 통과는 시험구간 마지막 날의 199종목에 대한 것이고, 모수 메모리는 직렬화한 모형 크기다.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더 낮은 손실에서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&lt;Table 4&gt;를 얻은 캐글 GPU(배치 256, 혼합정밀도)에서는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검증구간 정확도와 &lt;Table 5&gt;의 비용을 한 평면에 놓은 것이다. 지연시간만 보면 분위 헤드 모형이 더 왼쪽에 있으나, 정확도와 비용을 함께 보면 세 트랜스포머 모형 가운데 제안 모형이 파레토 전선 위에 있다. 분위 GBDT는 검증 정확도가 같고 지연이 더 짧으므로 이 평면에서는 제안 모형보다 앞선다.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300" w:lineRule="auto"/>
      </w:pPr>
      <w:r>
        <w:rPr>
          <w:rFonts w:ascii="Times New Roman" w:hAnsi="Times New Roman" w:eastAsia="Apple SD Gothic Neo"/>
          <w:b/>
          <w:i w:val="0"/>
          <w:spacing w:val="-9"/>
          <w:w w:val="95"/>
          <w:sz w:val="18"/>
        </w:rPr>
        <w:t>5.3 기권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4.4절의 동일한 기권 규칙을 적용하고 시험구간 전체에서 집계하였다. 점 예측 모형은 임계할 폭이 없어 기권이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 기권이 고변동 구간에 집중된다. 이 집중은 세 구성요소 가운데 하나를 빼도 유지된다(5.4절). 예측 폭과 실현 변동의 상관 자체는 TFT 원본이 더 높았다(0.186 대 0.170). 기권이 고변동 구간에 더 몰리는 것과 폭이 변동을 더 잘 따라가는 것은 별개의 성질이다. 기권한 판단은 실제로 더 나빴다. 제안 모형이 기권한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기권 0.56 ± 0.02 대 유지 0.55 ± 0.02로 거의 같다. 기권한 판단은 방향을 틀리기 쉬운 판단이 아니라 오차의 크기가 큰 판단이며, 이는 기권이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기권시켜 같은 날 같은 개수를 기권하게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기권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기권율의 절대 수준을 정하는 임계값 분위는 시험구간을 참조하여 선택되었으므로 5.91%라는 값은 표본 밖 수치가 아니다. 다만 앞 문단의 통제군 비교는 날짜마다 같은 개수를 기권시켜 기권율을 맞춘 상태에서 여섯 수준 전부로 수행하였으므로, 이 비교의 결론은 임계값 선택에 의존하지 않는다.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keepNext/>
        <w:autoSpaceDE w:val="0"/>
        <w:autoSpaceDN w:val="0"/>
        <w:spacing w:after="20" w:before="0" w:line="300" w:lineRule="auto"/>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시험구간 핀볼 손실, 최상위 변동성 분위의 기권율, 기권율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 제안 모형의 설정은 제거 실험 전에 고정하였으므로 본문의 비교는 변수선택망 판으로 유지하였으며, 실제 운용에서는 선형 합치기 변형이 같은 결과를 내는 더 가벼운 대안이다.</w:t>
      </w:r>
    </w:p>
    <w:p>
      <w:pPr>
        <w:keepNext/>
        <w:autoSpaceDE w:val="0"/>
        <w:autoSpaceDN w:val="0"/>
        <w:spacing w:after="280" w:before="360" w:line="300" w:lineRule="auto"/>
      </w:pPr>
      <w:r>
        <w:rPr>
          <w:rFonts w:ascii="Times New Roman" w:hAnsi="Times New Roman" w:eastAsia="Apple SD Gothic Neo"/>
          <w:b/>
          <w:i w:val="0"/>
          <w:spacing w:val="0"/>
          <w:w w:val="97"/>
          <w:sz w:val="20"/>
        </w:rPr>
        <w:t>6. 결론 및 향후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기권하는 규칙도 함께 적용하였다. 코스피200 구성종목 201개의 일별 자료로 평가하여 다음 두 가지를 확인하였다.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기권이 변동성이 큰 시기에 집중되었다. 기권한 예측은 실행된 예측보다 오차가 약 1.5배 컸고, 기권율을 맞춘 비교에서도 최근 변동성만 보고 기권하는 단순 규칙보다 큰 오차를 더 잘 걸러냈다. 분위 GBDT도 같은 비교에서 대등한 기권 품질을 보였으므로 이 성질은 트랜스포머 구조에 고유하지 않다. 하나의 예측값만 내는 기존 패치 기반 모형으로는 이러한 기권 자체를 할 수 없다.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기권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기권은 폭의 순위만 쓰므로 영향을 받지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향후 연구에서는 구성요소를 둘 이상 함께 제거하는 실험으로 개선의 출처를 가리고, 비교 이후 새로 쌓인 자료를 평가에 쓰지 않은 구간으로 두어 여러 시장 국면에서 다시 검증한다.</w:t>
      </w:r>
    </w:p>
    <w:p>
      <w:pPr>
        <w:keepNext/>
        <w:autoSpaceDE w:val="0"/>
        <w:autoSpaceDN w:val="0"/>
        <w:spacing w:after="280" w:before="360" w:line="300" w:lineRule="auto"/>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autoSpaceDE w:val="0"/>
              <w:autoSpaceDN w:val="0"/>
              <w:spacing w:after="40" w:before="0" w:line="300" w:lineRule="auto"/>
              <w:jc w:val="center"/>
            </w:pPr>
            <w:r>
              <w:rPr>
                <w:rFonts w:ascii="Times New Roman" w:hAnsi="Times New Roman" w:eastAsia="Apple SD Gothic Neo"/>
                <w:b w:val="0"/>
                <w:i w:val="0"/>
                <w:spacing w:val="22"/>
                <w:w w:val="100"/>
                <w:sz w:val="22"/>
              </w:rPr>
              <w:t>박 성 준</w:t>
            </w:r>
          </w:p>
          <w:p>
            <w:pPr>
              <w:autoSpaceDE w:val="0"/>
              <w:autoSpaceDN w:val="0"/>
              <w:spacing w:after="20" w:before="0" w:line="272" w:lineRule="exact"/>
            </w:pPr>
            <w:r>
              <w:rPr>
                <w:rFonts w:ascii="Times New Roman" w:hAnsi="Times New Roman" w:eastAsia="AppleMyungjo"/>
                <w:b w:val="0"/>
                <w:i w:val="0"/>
                <w:spacing w:val="-5"/>
                <w:w w:val="95"/>
                <w:sz w:val="17"/>
              </w:rPr>
              <w:t>https://orcid.org/0009-0004-9626-5165</w:t>
            </w:r>
          </w:p>
          <w:p>
            <w:pPr>
              <w:autoSpaceDE w:val="0"/>
              <w:autoSpaceDN w:val="0"/>
              <w:spacing w:after="20" w:before="0" w:line="272" w:lineRule="exact"/>
            </w:pPr>
            <w:r>
              <w:rPr>
                <w:rFonts w:ascii="Times New Roman" w:hAnsi="Times New Roman" w:eastAsia="AppleMyungjo"/>
                <w:b w:val="0"/>
                <w:i w:val="0"/>
                <w:spacing w:val="-5"/>
                <w:w w:val="95"/>
                <w:sz w:val="17"/>
              </w:rPr>
              <w:t>e-mail : appop001@naver.com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autoSpaceDE w:val="0"/>
              <w:autoSpaceDN w:val="0"/>
              <w:spacing w:after="40" w:before="0" w:line="300" w:lineRule="auto"/>
              <w:jc w:val="center"/>
            </w:pPr>
            <w:r>
              <w:rPr>
                <w:rFonts w:ascii="Times New Roman" w:hAnsi="Times New Roman" w:eastAsia="Apple SD Gothic Neo"/>
                <w:b w:val="0"/>
                <w:i w:val="0"/>
                <w:spacing w:val="22"/>
                <w:w w:val="100"/>
                <w:sz w:val="22"/>
              </w:rPr>
              <w:t>김 지 민</w:t>
            </w:r>
          </w:p>
          <w:p>
            <w:pPr>
              <w:autoSpaceDE w:val="0"/>
              <w:autoSpaceDN w:val="0"/>
              <w:spacing w:after="20" w:before="0" w:line="272" w:lineRule="exact"/>
            </w:pPr>
            <w:r>
              <w:rPr>
                <w:rFonts w:ascii="Times New Roman" w:hAnsi="Times New Roman" w:eastAsia="AppleMyungjo"/>
                <w:b w:val="0"/>
                <w:i w:val="0"/>
                <w:spacing w:val="-5"/>
                <w:w w:val="95"/>
                <w:sz w:val="17"/>
              </w:rPr>
              <w:t>https://orcid.org/0009-0004-4645-227X</w:t>
            </w:r>
          </w:p>
          <w:p>
            <w:pPr>
              <w:autoSpaceDE w:val="0"/>
              <w:autoSpaceDN w:val="0"/>
              <w:spacing w:after="20" w:before="0" w:line="272" w:lineRule="exact"/>
            </w:pPr>
            <w:r>
              <w:rPr>
                <w:rFonts w:ascii="Times New Roman" w:hAnsi="Times New Roman" w:eastAsia="AppleMyungjo"/>
                <w:b w:val="0"/>
                <w:i w:val="0"/>
                <w:spacing w:val="-5"/>
                <w:w w:val="95"/>
                <w:sz w:val="17"/>
              </w:rPr>
              <w:t>e-mail : bckck@naver.com</w:t>
            </w:r>
          </w:p>
          <w:p>
            <w:pPr>
              <w:autoSpaceDE w:val="0"/>
              <w:autoSpaceDN w:val="0"/>
              <w:spacing w:after="20" w:before="0" w:line="272" w:lineRule="exact"/>
            </w:pPr>
            <w:r>
              <w:rPr>
                <w:rFonts w:ascii="Times New Roman" w:hAnsi="Times New Roman" w:eastAsia="AppleMyungjo"/>
                <w:b w:val="0"/>
                <w:i w:val="0"/>
                <w:spacing w:val="-5"/>
                <w:w w:val="95"/>
                <w:sz w:val="17"/>
              </w:rPr>
              <w:t>2020년～현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autoSpaceDE w:val="0"/>
              <w:autoSpaceDN w:val="0"/>
              <w:spacing w:after="40" w:before="0" w:line="300" w:lineRule="auto"/>
              <w:jc w:val="center"/>
            </w:pPr>
            <w:r>
              <w:rPr>
                <w:rFonts w:ascii="Times New Roman" w:hAnsi="Times New Roman" w:eastAsia="Apple SD Gothic Neo"/>
                <w:b w:val="0"/>
                <w:i w:val="0"/>
                <w:spacing w:val="22"/>
                <w:w w:val="100"/>
                <w:sz w:val="22"/>
              </w:rPr>
              <w:t>권 오 재</w:t>
            </w:r>
          </w:p>
          <w:p>
            <w:pPr>
              <w:autoSpaceDE w:val="0"/>
              <w:autoSpaceDN w:val="0"/>
              <w:spacing w:after="20" w:before="0" w:line="272" w:lineRule="exact"/>
            </w:pPr>
            <w:r>
              <w:rPr>
                <w:rFonts w:ascii="Times New Roman" w:hAnsi="Times New Roman" w:eastAsia="AppleMyungjo"/>
                <w:b w:val="0"/>
                <w:i w:val="0"/>
                <w:spacing w:val="-5"/>
                <w:w w:val="95"/>
                <w:sz w:val="17"/>
              </w:rPr>
              <w:t>https://orcid.org/0009-0002-9537-5317</w:t>
            </w:r>
          </w:p>
          <w:p>
            <w:pPr>
              <w:autoSpaceDE w:val="0"/>
              <w:autoSpaceDN w:val="0"/>
              <w:spacing w:after="20" w:before="0" w:line="272" w:lineRule="exact"/>
            </w:pPr>
            <w:r>
              <w:rPr>
                <w:rFonts w:ascii="Times New Roman" w:hAnsi="Times New Roman" w:eastAsia="AppleMyungjo"/>
                <w:b w:val="0"/>
                <w:i w:val="0"/>
                <w:spacing w:val="-5"/>
                <w:w w:val="95"/>
                <w:sz w:val="17"/>
              </w:rPr>
              <w:t>e-mail : rnjsdhwo4@naver.com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autoSpaceDE w:val="0"/>
              <w:autoSpaceDN w:val="0"/>
              <w:spacing w:after="40" w:before="0" w:line="300" w:lineRule="auto"/>
              <w:jc w:val="center"/>
            </w:pPr>
            <w:r>
              <w:rPr>
                <w:rFonts w:ascii="Times New Roman" w:hAnsi="Times New Roman" w:eastAsia="Apple SD Gothic Neo"/>
                <w:b w:val="0"/>
                <w:i w:val="0"/>
                <w:spacing w:val="22"/>
                <w:w w:val="100"/>
                <w:sz w:val="22"/>
              </w:rPr>
              <w:t>송 하 얼</w:t>
            </w:r>
          </w:p>
          <w:p>
            <w:pPr>
              <w:autoSpaceDE w:val="0"/>
              <w:autoSpaceDN w:val="0"/>
              <w:spacing w:after="20" w:before="0" w:line="272" w:lineRule="exact"/>
            </w:pPr>
            <w:r>
              <w:rPr>
                <w:rFonts w:ascii="Times New Roman" w:hAnsi="Times New Roman" w:eastAsia="AppleMyungjo"/>
                <w:b w:val="0"/>
                <w:i w:val="0"/>
                <w:spacing w:val="-5"/>
                <w:w w:val="95"/>
                <w:sz w:val="17"/>
              </w:rPr>
              <w:t>https://orcid.org/0009-0007-5429-4154</w:t>
            </w:r>
          </w:p>
          <w:p>
            <w:pPr>
              <w:autoSpaceDE w:val="0"/>
              <w:autoSpaceDN w:val="0"/>
              <w:spacing w:after="20" w:before="0" w:line="272" w:lineRule="exact"/>
            </w:pPr>
            <w:r>
              <w:rPr>
                <w:rFonts w:ascii="Times New Roman" w:hAnsi="Times New Roman" w:eastAsia="AppleMyungjo"/>
                <w:b w:val="0"/>
                <w:i w:val="0"/>
                <w:spacing w:val="-5"/>
                <w:w w:val="95"/>
                <w:sz w:val="17"/>
              </w:rPr>
              <w:t>e-mail : haeolsong@gmail.com</w:t>
            </w:r>
          </w:p>
          <w:p>
            <w:pPr>
              <w:autoSpaceDE w:val="0"/>
              <w:autoSpaceDN w:val="0"/>
              <w:spacing w:after="20" w:before="0" w:line="272" w:lineRule="exact"/>
            </w:pPr>
            <w:r>
              <w:rPr>
                <w:rFonts w:ascii="Times New Roman" w:hAnsi="Times New Roman" w:eastAsia="AppleMyungjo"/>
                <w:b w:val="0"/>
                <w:i w:val="0"/>
                <w:spacing w:val="-5"/>
                <w:w w:val="95"/>
                <w:sz w:val="17"/>
              </w:rPr>
              <w:t>2023년～현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auto"/>
              <w:jc w:val="center"/>
            </w:pPr>
            <w:r>
              <w:rPr>
                <w:rFonts w:ascii="Times New Roman" w:hAnsi="Times New Roman" w:eastAsia="Apple SD Gothic Neo"/>
                <w:b w:val="0"/>
                <w:i w:val="0"/>
                <w:spacing w:val="22"/>
                <w:w w:val="100"/>
                <w:sz w:val="22"/>
              </w:rPr>
              <w:t>서 정 일</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jeongilseo@dau.ac.kr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부교수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auto"/>
              <w:jc w:val="center"/>
            </w:pPr>
            <w:r>
              <w:rPr>
                <w:rFonts w:ascii="Times New Roman" w:hAnsi="Times New Roman" w:eastAsia="Apple SD Gothic Neo"/>
                <w:b w:val="0"/>
                <w:i w:val="0"/>
                <w:spacing w:val="22"/>
                <w:w w:val="100"/>
                <w:sz w:val="22"/>
              </w:rPr>
              <w:t>유 주 한</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unchinto@dau.ac.kr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조교수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