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160" w:before="0" w:line="300" w:lineRule="auto"/>
        <w:jc w:val="center"/>
      </w:pPr>
      <w:r>
        <w:rPr>
          <w:rFonts w:ascii="Times New Roman" w:hAnsi="Times New Roman" w:eastAsia="중고딕"/>
          <w:b w:val="0"/>
          <w:i w:val="0"/>
          <w:sz w:val="20"/>
        </w:rPr>
        <w:t>Seongjun Park†⋅Jimin Kim†⋅Ohjae Kwon†⋅Haeol Song†⋅Jeongil Seo††⋅Juhan Yoo†††</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The evaluation uses the current index constituents and an abstention threshold chosen with reference to the test split.</w:t>
      </w:r>
    </w:p>
    <w:p>
      <w:pPr>
        <w:wordWrap w:val="0"/>
        <w:autoSpaceDE w:val="0"/>
        <w:autoSpaceDN w:val="0"/>
        <w:spacing w:after="200" w:before="0" w:line="300" w:lineRule="auto"/>
      </w:pPr>
      <w:r>
        <w:rPr>
          <w:rFonts w:ascii="Times New Roman" w:hAnsi="Times New Roman" w:eastAsia="태고딕"/>
          <w:b w:val="0"/>
          <w:i w:val="0"/>
          <w:sz w:val="15"/>
        </w:rPr>
        <w:t>Keywords : Stock Return Forecasting, Patch-Based Transformer, Quantile Regression,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160" w:before="0" w:line="300" w:lineRule="auto"/>
        <w:jc w:val="center"/>
      </w:pPr>
      <w:r>
        <w:rPr>
          <w:rFonts w:ascii="Times New Roman" w:hAnsi="Times New Roman" w:eastAsia="중고딕"/>
          <w:b w:val="0"/>
          <w:i w:val="0"/>
          <w:sz w:val="20"/>
        </w:rPr>
        <w:t>박 성 준†⋅김 지 민†⋅권 오 재†⋅송 하 얼†⋅서 정 일††⋅유 주 한†††</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분위 손실을 보이면서 학습은 3.8배, 추론은 4.8배 빨랐다. 기권은 변동성이 큰 시기에 집중되었으며, 기권한 예측의 오차는 실행된 예측의 약 1.5배였다. 이는 최근 변동성만 보고 기권하는 단순 규칙보다 큰 오차를 더 잘 걸러낸 결과이다. 같은 표본으로 학습한 분위 그래디언트 부스팅 기준모형은 계산 비용이 더 낮고 기권 품질도 대등하였으므로, 제안 모형이 그 기준모형보다 나은 점은 비용이 아니라 정확도이다. 다만 평가는 현재 시점의 지수 구성종목을 쓰고 기권 임계값도 시험구간을 참조하여 골랐다는 한계가 있다.</w:t>
      </w:r>
    </w:p>
    <w:p>
      <w:pPr>
        <w:wordWrap w:val="0"/>
        <w:autoSpaceDE w:val="0"/>
        <w:autoSpaceDN w:val="0"/>
        <w:spacing w:after="200" w:before="0" w:line="300" w:lineRule="auto"/>
      </w:pPr>
      <w:r>
        <w:rPr>
          <w:rFonts w:ascii="Times New Roman" w:hAnsi="Times New Roman" w:eastAsia="태고딕"/>
          <w:b w:val="0"/>
          <w:i w:val="0"/>
          <w:sz w:val="15"/>
        </w:rPr>
        <w:t>키워드 : 주가 수익률 예측, 패치 기반 트랜스포머, 분위회귀, 예측 불확실성, 기권</w:t>
      </w:r>
    </w:p>
    <w:p>
      <w:pPr>
        <w:wordWrap w:val="0"/>
        <w:autoSpaceDE w:val="0"/>
        <w:autoSpaceDN w:val="0"/>
        <w:spacing w:after="20" w:before="0" w:line="276" w:lineRule="auto"/>
      </w:pPr>
      <w:r>
        <w:rPr>
          <w:rFonts w:ascii="Times New Roman" w:hAnsi="Times New Roman" w:eastAsia="신명조"/>
          <w:b w:val="0"/>
          <w:i w:val="0"/>
          <w:sz w:val="14"/>
        </w:rPr>
        <w:t>† 비 회 원 : 동아대학교 컴퓨터공학과 학부생</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부교수</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조교수</w:t>
      </w:r>
    </w:p>
    <w:p>
      <w:pPr>
        <w:wordWrap w:val="0"/>
        <w:autoSpaceDE w:val="0"/>
        <w:autoSpaceDN w:val="0"/>
        <w:spacing w:after="20" w:before="0" w:line="276" w:lineRule="auto"/>
      </w:pPr>
      <w:r>
        <w:rPr>
          <w:rFonts w:ascii="Times New Roman" w:hAnsi="Times New Roman" w:eastAsia="신명조"/>
          <w:b w:val="0"/>
          <w:i w:val="0"/>
          <w:sz w:val="14"/>
        </w:rPr>
        <w:t>Manuscript Received :</w:t>
      </w:r>
    </w:p>
    <w:p>
      <w:pPr>
        <w:wordWrap w:val="0"/>
        <w:autoSpaceDE w:val="0"/>
        <w:autoSpaceDN w:val="0"/>
        <w:spacing w:after="20" w:before="0" w:line="276" w:lineRule="auto"/>
      </w:pPr>
      <w:r>
        <w:rPr>
          <w:rFonts w:ascii="Times New Roman" w:hAnsi="Times New Roman" w:eastAsia="신명조"/>
          <w:b w:val="0"/>
          <w:i w:val="0"/>
          <w:sz w:val="14"/>
        </w:rPr>
        <w:t>First Revision :</w:t>
      </w:r>
    </w:p>
    <w:p>
      <w:pPr>
        <w:wordWrap w:val="0"/>
        <w:autoSpaceDE w:val="0"/>
        <w:autoSpaceDN w:val="0"/>
        <w:spacing w:after="20" w:before="0" w:line="276" w:lineRule="auto"/>
      </w:pPr>
      <w:r>
        <w:rPr>
          <w:rFonts w:ascii="Times New Roman" w:hAnsi="Times New Roman" w:eastAsia="신명조"/>
          <w:b w:val="0"/>
          <w:i w:val="0"/>
          <w:sz w:val="14"/>
        </w:rPr>
        <w:t>Accepted :</w:t>
      </w:r>
    </w:p>
    <w:p>
      <w:pPr>
        <w:wordWrap w:val="0"/>
        <w:autoSpaceDE w:val="0"/>
        <w:autoSpaceDN w:val="0"/>
        <w:spacing w:after="20" w:before="0" w:line="276" w:lineRule="auto"/>
      </w:pPr>
      <w:r>
        <w:rPr>
          <w:rFonts w:ascii="Times New Roman" w:hAnsi="Times New Roman" w:eastAsia="신명조"/>
          <w:b w:val="0"/>
          <w:i w:val="0"/>
          <w:sz w:val="14"/>
        </w:rPr>
        <w:t>* Corresponding Authors : Jeongil Seo(jeongilseo@dau.ac.kr), Juhan Yoo(unchinto@dau.ac.kr)</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 비용이 낮아야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이에 대한 본 연구의 기여는 세 가지이다. 첫째, 채널 축을 인코더 앞에서 하나로 합쳐 분위 예측 트랜스포머의 학습·추론 비용을 TFT의 약 4분의 1로 낮추면서 예측 손실은 더 낮추었다. 둘째, 예측 구간의 폭을 기준으로 한 기권이 최근 변동성만 쓰는 규칙보다 큰 오차를 더 잘 걸러낸다는 것을, 기권율을 맞춘 비교로 보였다. 셋째, 같은 분할과 같은 윈도우 표본 위에서 무조건부 분위수 상수와 분위 그래디언트 부스팅을 함께 측정하여, 구조에서 오는 이득과 그렇지 않은 부분을 구분하였다.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선택적 예측과 기권</w:t>
      </w:r>
    </w:p>
    <w:p>
      <w:pPr>
        <w:wordWrap w:val="0"/>
        <w:autoSpaceDE w:val="0"/>
        <w:autoSpaceDN w:val="0"/>
        <w:spacing w:after="80" w:before="0" w:line="341" w:lineRule="auto"/>
        <w:ind w:firstLine="180"/>
        <w:jc w:val="both"/>
      </w:pPr>
      <w:r>
        <w:rPr>
          <w:rFonts w:ascii="Times New Roman" w:hAnsi="Times New Roman" w:eastAsia="신명조"/>
          <w:b w:val="0"/>
          <w:i w:val="0"/>
          <w:sz w:val="18"/>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기권은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기권율이 학습으로 최적화되지 않고 임계값으로 정해지므로, 임계값 선택이 결과에 미치는 영향을 5.3절에서 따로 확인한다.</w:t>
      </w:r>
    </w:p>
    <w:p>
      <w:pPr>
        <w:wordWrap w:val="0"/>
        <w:autoSpaceDE w:val="0"/>
        <w:autoSpaceDN w:val="0"/>
        <w:spacing w:after="60" w:before="0" w:line="300" w:lineRule="auto"/>
      </w:pPr>
      <w:r>
        <w:rPr>
          <w:rFonts w:ascii="Times New Roman" w:hAnsi="Times New Roman" w:eastAsia="중고딕"/>
          <w:b w:val="0"/>
          <w:i w:val="0"/>
          <w:sz w:val="18"/>
        </w:rPr>
        <w:t>2.5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 (vs. linear merge, Sec. 5.4)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Macro cross-attention (design option, Sec. 5.4)</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6325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632500"/>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80" w:before="0" w:line="341" w:lineRule="auto"/>
        <w:ind w:firstLine="180"/>
        <w:jc w:val="both"/>
      </w:pPr>
      <w:r>
        <w:rPr>
          <w:rFonts w:ascii="Times New Roman" w:hAnsi="Times New Roman" w:eastAsia="신명조"/>
          <w:b w:val="0"/>
          <w:i w:val="0"/>
          <w:sz w:val="18"/>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v</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w:t>
      </w:r>
      <w:r>
        <w:rPr>
          <w:rFonts w:ascii="Times New Roman" w:hAnsi="Times New Roman" w:eastAsia="신명조"/>
          <w:b w:val="0"/>
          <w:i/>
          <w:sz w:val="18"/>
        </w:rPr>
        <w:t>n</w:t>
      </w:r>
      <w:r>
        <w:rPr>
          <w:rFonts w:ascii="Times New Roman" w:hAnsi="Times New Roman" w:eastAsia="신명조"/>
          <w:b w:val="0"/>
          <w:i w:val="0"/>
          <w:sz w:val="18"/>
        </w:rPr>
        <w:t xml:space="preserve"> = 1, …, </w:t>
      </w:r>
      <w:r>
        <w:rPr>
          <w:rFonts w:ascii="Times New Roman" w:hAnsi="Times New Roman" w:eastAsia="신명조"/>
          <w:b w:val="0"/>
          <w:i/>
          <w:sz w:val="18"/>
        </w:rPr>
        <w:t>N</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w:t>
      </w:r>
      <w:r>
        <w:rPr>
          <w:rFonts w:ascii="Times New Roman" w:hAnsi="Times New Roman" w:eastAsia="신명조"/>
          <w:b w:val="0"/>
          <w:i/>
          <w:sz w:val="18"/>
        </w:rPr>
        <w:t>v</w:t>
      </w:r>
      <w:r>
        <w:rPr>
          <w:rFonts w:ascii="Times New Roman" w:hAnsi="Times New Roman" w:eastAsia="신명조"/>
          <w:b w:val="0"/>
          <w:i/>
          <w:sz w:val="18"/>
          <w:vertAlign w:val="subscript"/>
        </w:rPr>
        <w:t>n,i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n,i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여기서 </w:t>
      </w:r>
      <w:r>
        <w:rPr>
          <w:rFonts w:ascii="Times New Roman" w:hAnsi="Times New Roman" w:eastAsia="신명조"/>
          <w:b w:val="0"/>
          <w:i/>
          <w:sz w:val="18"/>
        </w:rPr>
        <w:t>C</w:t>
      </w:r>
      <w:r>
        <w:rPr>
          <w:rFonts w:ascii="Times New Roman" w:hAnsi="Times New Roman" w:eastAsia="신명조"/>
          <w:b w:val="0"/>
          <w:i w:val="0"/>
          <w:sz w:val="18"/>
        </w:rPr>
        <w:t xml:space="preserve">는 채널 수, </w:t>
      </w:r>
      <w:r>
        <w:rPr>
          <w:rFonts w:ascii="Times New Roman" w:hAnsi="Times New Roman" w:eastAsia="신명조"/>
          <w:b w:val="0"/>
          <w:i/>
          <w:sz w:val="18"/>
        </w:rPr>
        <w:t>N</w:t>
      </w:r>
      <w:r>
        <w:rPr>
          <w:rFonts w:ascii="Times New Roman" w:hAnsi="Times New Roman" w:eastAsia="신명조"/>
          <w:b w:val="0"/>
          <w:i w:val="0"/>
          <w:sz w:val="18"/>
        </w:rPr>
        <w:t xml:space="preserve">은 패치 수, </w:t>
      </w:r>
      <w:r>
        <w:rPr>
          <w:rFonts w:ascii="Times New Roman" w:hAnsi="Times New Roman" w:eastAsia="신명조"/>
          <w:b w:val="0"/>
          <w:i/>
          <w:sz w:val="18"/>
        </w:rPr>
        <w:t>E</w:t>
      </w:r>
      <w:r>
        <w:rPr>
          <w:rFonts w:ascii="Times New Roman" w:hAnsi="Times New Roman" w:eastAsia="신명조"/>
          <w:b w:val="0"/>
          <w:i/>
          <w:sz w:val="18"/>
          <w:vertAlign w:val="subscript"/>
        </w:rPr>
        <w:t>n,i</w:t>
      </w:r>
      <w:r>
        <w:rPr>
          <w:rFonts w:ascii="Times New Roman" w:hAnsi="Times New Roman" w:eastAsia="신명조"/>
          <w:b w:val="0"/>
          <w:i w:val="0"/>
          <w:sz w:val="18"/>
        </w:rPr>
        <w:t xml:space="preserve">는 패치 </w:t>
      </w:r>
      <w:r>
        <w:rPr>
          <w:rFonts w:ascii="Times New Roman" w:hAnsi="Times New Roman" w:eastAsia="신명조"/>
          <w:b w:val="0"/>
          <w:i/>
          <w:sz w:val="18"/>
        </w:rPr>
        <w:t>n</w:t>
      </w:r>
      <w:r>
        <w:rPr>
          <w:rFonts w:ascii="Times New Roman" w:hAnsi="Times New Roman" w:eastAsia="신명조"/>
          <w:b w:val="0"/>
          <w:i w:val="0"/>
          <w:sz w:val="18"/>
        </w:rPr>
        <w:t xml:space="preserve">·채널 </w:t>
      </w:r>
      <w:r>
        <w:rPr>
          <w:rFonts w:ascii="Times New Roman" w:hAnsi="Times New Roman" w:eastAsia="신명조"/>
          <w:b w:val="0"/>
          <w:i/>
          <w:sz w:val="18"/>
        </w:rPr>
        <w:t>i</w:t>
      </w:r>
      <w:r>
        <w:rPr>
          <w:rFonts w:ascii="Times New Roman" w:hAnsi="Times New Roman" w:eastAsia="신명조"/>
          <w:b w:val="0"/>
          <w:i w:val="0"/>
          <w:sz w:val="18"/>
        </w:rPr>
        <w:t>의 임베딩이고, flat(</w:t>
      </w:r>
      <w:r>
        <w:rPr>
          <w:rFonts w:ascii="Times New Roman" w:hAnsi="Times New Roman" w:eastAsia="신명조"/>
          <w:b w:val="0"/>
          <w:i/>
          <w:sz w:val="18"/>
        </w:rPr>
        <w:t>E</w:t>
      </w:r>
      <w:r>
        <w:rPr>
          <w:rFonts w:ascii="Times New Roman" w:hAnsi="Times New Roman" w:eastAsia="신명조"/>
          <w:b w:val="0"/>
          <w:i/>
          <w:sz w:val="18"/>
          <w:vertAlign w:val="subscript"/>
        </w:rPr>
        <w:t>n</w:t>
      </w:r>
      <w:r>
        <w:rPr>
          <w:rFonts w:ascii="Times New Roman" w:hAnsi="Times New Roman" w:eastAsia="신명조"/>
          <w:b w:val="0"/>
          <w:i w:val="0"/>
          <w:sz w:val="18"/>
        </w:rPr>
        <w:t xml:space="preserve">)은 그 패치의 모든 채널 임베딩을 이어 붙인 벡터,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는 정적 임베딩에서 얻은 문맥 벡터, GRN은 TFT의 게이트 잔차 신경망이다.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z w:val="18"/>
        </w:rPr>
        <w:t>v</w:t>
      </w:r>
      <w:r>
        <w:rPr>
          <w:rFonts w:ascii="Times New Roman" w:hAnsi="Times New Roman" w:eastAsia="신명조"/>
          <w:b w:val="0"/>
          <w:i w:val="0"/>
          <w:sz w:val="18"/>
        </w:rPr>
        <w:t xml:space="preserve"> ∈ ℝ</w:t>
      </w:r>
      <w:r>
        <w:rPr>
          <w:rFonts w:ascii="Times New Roman" w:hAnsi="Times New Roman" w:eastAsia="신명조"/>
          <w:b w:val="0"/>
          <w:i/>
          <w:sz w:val="18"/>
          <w:vertAlign w:val="superscript"/>
        </w:rPr>
        <w:t>N×C</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0.117M으로 줄면서도 정확도와 기권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TimeXer[21]가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여기서 </w:t>
      </w:r>
      <w:r>
        <w:rPr>
          <w:rFonts w:ascii="Times New Roman" w:hAnsi="Times New Roman" w:eastAsia="신명조"/>
          <w:b w:val="0"/>
          <w:i/>
          <w:sz w:val="18"/>
        </w:rPr>
        <w:t>Z</w:t>
      </w:r>
      <w:r>
        <w:rPr>
          <w:rFonts w:ascii="Times New Roman" w:hAnsi="Times New Roman" w:eastAsia="신명조"/>
          <w:b w:val="0"/>
          <w:i w:val="0"/>
          <w:sz w:val="18"/>
        </w:rPr>
        <w:t xml:space="preserve">는 종목 표현,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은 매크로 부호화, </w:t>
      </w:r>
      <w:r>
        <w:rPr>
          <w:rFonts w:ascii="Times New Roman" w:hAnsi="Times New Roman" w:eastAsia="신명조"/>
          <w:b w:val="0"/>
          <w:i/>
          <w:sz w:val="18"/>
        </w:rPr>
        <w:t>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xml:space="preserve">는 투영 행렬,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는 키의 차원이다. 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이 모듈의 정확도 기여는 5.4절의 제거 실험에서 확인되지 않았다.</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b</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softplus(δ</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softplus(δ</w:t>
      </w:r>
      <w:r>
        <w:rPr>
          <w:rFonts w:ascii="Times New Roman" w:hAnsi="Times New Roman" w:eastAsia="신명조"/>
          <w:b w:val="0"/>
          <w:i/>
          <w:sz w:val="18"/>
          <w:vertAlign w:val="subscript"/>
        </w:rPr>
        <w:t>2</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sz w:val="18"/>
        </w:rPr>
        <w:t>b</w:t>
      </w:r>
      <w:r>
        <w:rPr>
          <w:rFonts w:ascii="Times New Roman" w:hAnsi="Times New Roman" w:eastAsia="신명조"/>
          <w:b w:val="0"/>
          <w:i w:val="0"/>
          <w:sz w:val="18"/>
        </w:rPr>
        <w:t>와 δ</w:t>
      </w:r>
      <w:r>
        <w:rPr>
          <w:rFonts w:ascii="Times New Roman" w:hAnsi="Times New Roman" w:eastAsia="신명조"/>
          <w:b w:val="0"/>
          <w:i/>
          <w:sz w:val="18"/>
          <w:vertAlign w:val="subscript"/>
        </w:rPr>
        <w:t>1</w:t>
      </w:r>
      <w:r>
        <w:rPr>
          <w:rFonts w:ascii="Times New Roman" w:hAnsi="Times New Roman" w:eastAsia="신명조"/>
          <w:b w:val="0"/>
          <w:i w:val="0"/>
          <w:sz w:val="18"/>
        </w:rPr>
        <w:t>, δ</w:t>
      </w:r>
      <w:r>
        <w:rPr>
          <w:rFonts w:ascii="Times New Roman" w:hAnsi="Times New Roman" w:eastAsia="신명조"/>
          <w:b w:val="0"/>
          <w:i/>
          <w:sz w:val="18"/>
          <w:vertAlign w:val="subscript"/>
        </w:rPr>
        <w:t>2</w:t>
      </w:r>
      <w:r>
        <w:rPr>
          <w:rFonts w:ascii="Times New Roman" w:hAnsi="Times New Roman" w:eastAsia="신명조"/>
          <w:b w:val="0"/>
          <w:i w:val="0"/>
          <w:sz w:val="18"/>
        </w:rPr>
        <w:t>는 헤드 마지막 선형층의 세 출력이다. 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w:t>
      </w:r>
      <w:r>
        <w:rPr>
          <w:rFonts w:ascii="Times New Roman" w:hAnsi="Times New Roman" w:eastAsia="신명조"/>
          <w:b w:val="0"/>
          <w:i/>
          <w:sz w:val="18"/>
          <w:vertAlign w:val="superscript"/>
        </w:rPr>
        <w:t>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w:t>
      </w:r>
      <w:r>
        <w:rPr>
          <w:rFonts w:ascii="Times New Roman" w:hAnsi="Times New Roman" w:eastAsia="신명조"/>
          <w:b w:val="0"/>
          <w:i/>
          <w:sz w:val="18"/>
          <w:vertAlign w:val="superscript"/>
        </w:rPr>
        <w:t>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80" w:before="0" w:line="341" w:lineRule="auto"/>
        <w:ind w:firstLine="180"/>
        <w:jc w:val="both"/>
      </w:pPr>
      <w:r>
        <w:rPr>
          <w:rFonts w:ascii="Times New Roman" w:hAnsi="Times New Roman" w:eastAsia="신명조"/>
          <w:b w:val="0"/>
          <w:i/>
          <w:sz w:val="18"/>
        </w:rPr>
        <w:t>r</w:t>
      </w:r>
      <w:r>
        <w:rPr>
          <w:rFonts w:ascii="Times New Roman" w:hAnsi="Times New Roman" w:eastAsia="신명조"/>
          <w:b w:val="0"/>
          <w:i/>
          <w:sz w:val="18"/>
          <w:vertAlign w:val="subscript"/>
        </w:rPr>
        <w:t>t</w:t>
      </w:r>
      <w:r>
        <w:rPr>
          <w:rFonts w:ascii="Times New Roman" w:hAnsi="Times New Roman" w:eastAsia="신명조"/>
          <w:b w:val="0"/>
          <w:i w:val="0"/>
          <w:sz w:val="18"/>
        </w:rPr>
        <w:t xml:space="preserve">는 일별 로그수익률이고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w:t>
      </w:r>
      <w:r>
        <w:rPr>
          <w:rFonts w:ascii="Times New Roman" w:hAnsi="Times New Roman" w:eastAsia="신명조"/>
          <w:b w:val="0"/>
          <w:i w:val="0"/>
          <w:sz w:val="18"/>
        </w:rPr>
        <w:t>는 같은 날 코스피200의 로그수익률이다.</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시험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95분위를 넘으면 기권한다.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wordWrap w:val="0"/>
        <w:autoSpaceDE w:val="0"/>
        <w:autoSpaceDN w:val="0"/>
        <w:spacing w:after="80" w:before="0" w:line="341" w:lineRule="auto"/>
        <w:ind w:firstLine="180"/>
        <w:jc w:val="both"/>
      </w:pPr>
      <w:r>
        <w:rPr>
          <w:rFonts w:ascii="Times New Roman" w:hAnsi="Times New Roman" w:eastAsia="신명조"/>
          <w:b w:val="0"/>
          <w:i w:val="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시험구간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Quantile GBDT (CPU)</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26.1 (full fit)</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0.068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13.4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2.13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측정 방법은 다음과 같다. epoch당 시간은 40배치의 학습 스텝 시간 중앙값에, 4.3절의 학습 윈도우 264,653건이 만드는 4,135배치를 곱한 값이다. 전 종목 1회 통과는 201종목에 대한 순전파 21회의 중앙값이고, 종목당 지연시간은 그 값을 201로 나눈 것이지 따로 측정한 값이 아니다. 활성값은 역전파 그래프를 남기는 순전파가 추가로 할당한 장치 메모리이며, 독립적인 두 번의 측정이 0.8% 안에서 일치하였다. 분위 GBDT의 전 종목 통과는 시험구간 마지막 날의 199종목에 대한 것이고, 모수 메모리는 직렬화한 모형 크기다.</w:t>
      </w:r>
    </w:p>
    <w:p>
      <w:pPr>
        <w:wordWrap w:val="0"/>
        <w:autoSpaceDE w:val="0"/>
        <w:autoSpaceDN w:val="0"/>
        <w:spacing w:after="80" w:before="0" w:line="341" w:lineRule="auto"/>
        <w:ind w:firstLine="180"/>
        <w:jc w:val="both"/>
      </w:pPr>
      <w:r>
        <w:rPr>
          <w:rFonts w:ascii="Times New Roman" w:hAnsi="Times New Roman" w:eastAsia="신명조"/>
          <w:b w:val="0"/>
          <w:i w:val="0"/>
          <w:sz w:val="18"/>
        </w:rPr>
        <w:t>더 낮은 손실에서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&lt;Table 4&gt;를 얻은 캐글 GPU(배치 256, 혼합정밀도)에서는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시험구간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 기권이 고변동 구간에 집중된다. 이 집중은 세 구성요소 가운데 하나를 빼도 유지된다(5.4절). 예측 폭과 실현 변동의 상관 자체는 TFT 원본이 더 높았다(0.186 대 0.170). 기권이 고변동 구간에 더 몰리는 것과 폭이 변동을 더 잘 따라가는 것은 별개의 성질이다. 기권한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0.56 ± 0.02 대 유지 0.55 ± 0.02로 거의 같다. 기권한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기권시켜 같은 날 같은 개수를 기권하게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기권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시험구간을 참조하여 선택되었으므로 5.91%라는 값은 표본 밖 수치가 아니다.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Variable selection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시험구간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기권하는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기권이 변동성이 큰 시기에 집중되었다. 기권한 예측은 실행된 예측보다 오차가 약 1.5배 컸고, 기권율을 맞춘 비교에서도 최근 변동성만 보고 기권하는 단순 규칙보다 큰 오차를 더 잘 걸러냈다. 분위 GBDT도 같은 비교에서 대등한 기권 품질을 보였으므로 이 성질은 트랜스포머 구조에 고유하지 않다. 하나의 예측값만 내는 기존 패치 기반 모형으로는 이러한 기권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예측 손실에 한정된다. 거래비용과 체결을 포함한 포트폴리오 수준의 성과는 측정하지 않았으므로, 기권이 투자 성과에 미치는 영향은 본 논문의 결과로 답할 수 없다. 평가 기간 자료가 입력 설계와 기권 기준 선택에 일부 참고되었고 현재 시점의 구성종목으로 유니버스를 정하였으므로, 완전한 사후 검증도 아니다. 또한 변수선택망, 정적 문맥, 매크로 크로스어텐션은 하나씩 제거해도 결과가 달라지지 않아, 개선이 인코더 앞 채널 축약 구조 자체에서 오는지 구성요소 간 대체에서 오는지 가리지 못하였다(5.4절). 예측 구간의 절대 포함률은 명목 80%보다 낮았고(71.6%), 검증구간에서 맞춘 등각 분위회귀 보정[13]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 O. B. Sezer, M. U. Gudelek, and A. M. Ozbayoglu, "Financial time series forecasting with deep learning: A systematic literature review: 2005-2019," </w:t>
      </w:r>
      <w:r>
        <w:rPr>
          <w:rFonts w:ascii="Times New Roman" w:hAnsi="Times New Roman" w:eastAsia="신명조"/>
          <w:b w:val="0"/>
          <w:i/>
          <w:sz w:val="17"/>
        </w:rPr>
        <w:t>Applied Soft Computing</w:t>
      </w:r>
      <w:r>
        <w:rPr>
          <w:rFonts w:ascii="Times New Roman" w:hAnsi="Times New Roman" w:eastAsia="신명조"/>
          <w:b w:val="0"/>
          <w:i w:val="0"/>
          <w:sz w:val="17"/>
        </w:rPr>
        <w:t>,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 T. S. Kim and S. Lee, "Deep learning-based stock fluctuation prediction according to overseas indices and trading trends,"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[3] A. Vaswani et al., "Attention is all you need,"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pp.5998-6008, 2017.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[4] H. Zhou et al., "Informer: Beyond efficient transformer for long sequence time-series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pp.11106-11115,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[5] H. Wu, J. Xu, J. Wang, and M. Long, "Autoformer: Decomposition transformers with auto-correlation for long-term series forecasting,"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pp.22419-22430,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[6] A. Zeng, M. Chen, L. Zhang, and Q. Xu, "Are transformers effective for time 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pp.11121-11128,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[7] Y. Nie, N. H. Nguyen, P. Sinthong, and J. Kalagnanam, "A time series is worth 64 words: Long-term forecasting with transformers,"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[8] B. Lim, S. O. Arik, N. Loeff, and T. Pfister, "Temporal fusion transformers for interpretable multi-horizon time series forecasting," </w:t>
      </w:r>
      <w:r>
        <w:rPr>
          <w:rFonts w:ascii="Times New Roman" w:hAnsi="Times New Roman" w:eastAsia="신명조"/>
          <w:b w:val="0"/>
          <w:i/>
          <w:sz w:val="17"/>
        </w:rPr>
        <w:t>International Journal of Forecasting</w:t>
      </w:r>
      <w:r>
        <w:rPr>
          <w:rFonts w:ascii="Times New Roman" w:hAnsi="Times New Roman" w:eastAsia="신명조"/>
          <w:b w:val="0"/>
          <w:i w:val="0"/>
          <w:sz w:val="17"/>
        </w:rPr>
        <w:t>,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[9] I. K. Kim, D. H. Kim, and J. Lee, "Temporal fusion transformers and deep learning methods for multi-horizon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[10] D.-K. Kim and K. Kim, "Style-based transformer for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[11] T. Kim, J. Kim, Y. Tae, C. Park, J.-H. Choi, and J. Choo, "Reversible instance normalization for accurate time-series forecasting against distribution shift,"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[12] R. Koenker and G. Bassett, "Regression quantiles," </w:t>
      </w:r>
      <w:r>
        <w:rPr>
          <w:rFonts w:ascii="Times New Roman" w:hAnsi="Times New Roman" w:eastAsia="신명조"/>
          <w:b w:val="0"/>
          <w:i/>
          <w:sz w:val="17"/>
        </w:rPr>
        <w:t>Econometrica</w:t>
      </w:r>
      <w:r>
        <w:rPr>
          <w:rFonts w:ascii="Times New Roman" w:hAnsi="Times New Roman" w:eastAsia="신명조"/>
          <w:b w:val="0"/>
          <w:i w:val="0"/>
          <w:sz w:val="17"/>
        </w:rPr>
        <w:t>,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[13] Y. Romano, E. Patterson, and E. J. Candes, "Conformalized quantile regression,"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pp.3543-3553,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[14] C. K. Chow, "On optimum recognition error and reject tradeoff," </w:t>
      </w:r>
      <w:r>
        <w:rPr>
          <w:rFonts w:ascii="Times New Roman" w:hAnsi="Times New Roman" w:eastAsia="신명조"/>
          <w:b w:val="0"/>
          <w:i/>
          <w:sz w:val="17"/>
        </w:rPr>
        <w:t>IEEE Transactions on Information Theory</w:t>
      </w:r>
      <w:r>
        <w:rPr>
          <w:rFonts w:ascii="Times New Roman" w:hAnsi="Times New Roman" w:eastAsia="신명조"/>
          <w:b w:val="0"/>
          <w:i w:val="0"/>
          <w:sz w:val="17"/>
        </w:rPr>
        <w:t>, Vol.16, No.1, pp.41-46, 1970.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[15] R. El-Yaniv and Y. Wiener, "On the foundations of noise-free selective classification," </w:t>
      </w:r>
      <w:r>
        <w:rPr>
          <w:rFonts w:ascii="Times New Roman" w:hAnsi="Times New Roman" w:eastAsia="신명조"/>
          <w:b w:val="0"/>
          <w:i/>
          <w:sz w:val="17"/>
        </w:rPr>
        <w:t>Journal of Machine Learning Research</w:t>
      </w:r>
      <w:r>
        <w:rPr>
          <w:rFonts w:ascii="Times New Roman" w:hAnsi="Times New Roman" w:eastAsia="신명조"/>
          <w:b w:val="0"/>
          <w:i w:val="0"/>
          <w:sz w:val="17"/>
        </w:rPr>
        <w:t>, Vol.11, pp.1605-1641, 2010.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[16] Y. Geifman and R. El-Yaniv, "Selective classification for deep neural networks,"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pp.4878-4887, 2017.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[17] T. Fischer and C. Krauss, "Deep learning with long short-term memory networks for financial market predictions," </w:t>
      </w:r>
      <w:r>
        <w:rPr>
          <w:rFonts w:ascii="Times New Roman" w:hAnsi="Times New Roman" w:eastAsia="신명조"/>
          <w:b w:val="0"/>
          <w:i/>
          <w:sz w:val="17"/>
        </w:rPr>
        <w:t>European Journal of Operational Research</w:t>
      </w:r>
      <w:r>
        <w:rPr>
          <w:rFonts w:ascii="Times New Roman" w:hAnsi="Times New Roman" w:eastAsia="신명조"/>
          <w:b w:val="0"/>
          <w:i w:val="0"/>
          <w:sz w:val="17"/>
        </w:rPr>
        <w:t>,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[18] S. Gu, B. Kelly, and D. Xiu, "Empirical asset pricing via machine learning," </w:t>
      </w:r>
      <w:r>
        <w:rPr>
          <w:rFonts w:ascii="Times New Roman" w:hAnsi="Times New Roman" w:eastAsia="신명조"/>
          <w:b w:val="0"/>
          <w:i/>
          <w:sz w:val="17"/>
        </w:rPr>
        <w:t>The Review of Financial Studies</w:t>
      </w:r>
      <w:r>
        <w:rPr>
          <w:rFonts w:ascii="Times New Roman" w:hAnsi="Times New Roman" w:eastAsia="신명조"/>
          <w:b w:val="0"/>
          <w:i w:val="0"/>
          <w:sz w:val="17"/>
        </w:rPr>
        <w:t>,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[19] H. J. Kim and Y. S. Jung, "A stock price prediction based on recurrent convolution neural network with weighted loss function,"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[20] S. Makridakis, E. Spiliotis, and V. Assimakopoulos, "Statistical and machine learning forecasting methods: Concerns and ways forward," </w:t>
      </w:r>
      <w:r>
        <w:rPr>
          <w:rFonts w:ascii="Times New Roman" w:hAnsi="Times New Roman" w:eastAsia="신명조"/>
          <w:b w:val="0"/>
          <w:i/>
          <w:sz w:val="17"/>
        </w:rPr>
        <w:t>PLOS ONE</w:t>
      </w:r>
      <w:r>
        <w:rPr>
          <w:rFonts w:ascii="Times New Roman" w:hAnsi="Times New Roman" w:eastAsia="신명조"/>
          <w:b w:val="0"/>
          <w:i w:val="0"/>
          <w:sz w:val="17"/>
        </w:rPr>
        <w:t>, Vol.13, No.3, e0194889, 2018.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[21] Y. Wang et al., "TimeXer: Empowering transformers for time series forecasting with exogenous variables,"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2024.</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[22] F. X. Diebold and R. S. Mariano, "Comparing predictive accuracy," </w:t>
      </w:r>
      <w:r>
        <w:rPr>
          <w:rFonts w:ascii="Times New Roman" w:hAnsi="Times New Roman" w:eastAsia="신명조"/>
          <w:b w:val="0"/>
          <w:i/>
          <w:sz w:val="17"/>
        </w:rPr>
        <w:t>Journal of Business &amp; Economic Statistics</w:t>
      </w:r>
      <w:r>
        <w:rPr>
          <w:rFonts w:ascii="Times New Roman" w:hAnsi="Times New Roman" w:eastAsia="신명조"/>
          <w:b w:val="0"/>
          <w:i w:val="0"/>
          <w:sz w:val="17"/>
        </w:rPr>
        <w:t>, Vol.13, No.3, pp.253-263, 1995.</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[23] W. K. Newey and K. D. West, "A simple, positive semi-definite, heteroskedasticity and autocorrelation consistent covariance matrix," </w:t>
      </w:r>
      <w:r>
        <w:rPr>
          <w:rFonts w:ascii="Times New Roman" w:hAnsi="Times New Roman" w:eastAsia="신명조"/>
          <w:b w:val="0"/>
          <w:i/>
          <w:sz w:val="17"/>
        </w:rPr>
        <w:t>Econometrica</w:t>
      </w:r>
      <w:r>
        <w:rPr>
          <w:rFonts w:ascii="Times New Roman" w:hAnsi="Times New Roman" w:eastAsia="신명조"/>
          <w:b w:val="0"/>
          <w:i w:val="0"/>
          <w:sz w:val="17"/>
        </w:rPr>
        <w:t>, Vol.55, No.3, pp.703-708, 1987.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[24] D. Harvey, S. Leybourne, and P. Newbold, "Testing the equality of prediction mean squared errors," </w:t>
      </w:r>
      <w:r>
        <w:rPr>
          <w:rFonts w:ascii="Times New Roman" w:hAnsi="Times New Roman" w:eastAsia="신명조"/>
          <w:b w:val="0"/>
          <w:i/>
          <w:sz w:val="17"/>
        </w:rPr>
        <w:t>International Journal of Forecasting</w:t>
      </w:r>
      <w:r>
        <w:rPr>
          <w:rFonts w:ascii="Times New Roman" w:hAnsi="Times New Roman" w:eastAsia="신명조"/>
          <w:b w:val="0"/>
          <w:i w:val="0"/>
          <w:sz w:val="17"/>
        </w:rPr>
        <w:t>, Vol.13, No.2, pp.281-291, 1997.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[25] G. Ke et al., "LightGBM: A highly efficient gradient boosting decision tree,"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pp.3146-3154, 2017.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[26] F. Pedregosa et al., "Scikit-learn: Machine learning in Python," </w:t>
      </w:r>
      <w:r>
        <w:rPr>
          <w:rFonts w:ascii="Times New Roman" w:hAnsi="Times New Roman" w:eastAsia="신명조"/>
          <w:b w:val="0"/>
          <w:i/>
          <w:sz w:val="17"/>
        </w:rPr>
        <w:t>Journal of Machine Learning Research</w:t>
      </w:r>
      <w:r>
        <w:rPr>
          <w:rFonts w:ascii="Times New Roman" w:hAnsi="Times New Roman" w:eastAsia="신명조"/>
          <w:b w:val="0"/>
          <w:i w:val="0"/>
          <w:sz w:val="17"/>
        </w:rPr>
        <w:t>, Vol.12, pp.2825-2830, 2011.</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박 성 준</w:t>
            </w:r>
          </w:p>
          <w:p>
            <w:pPr>
              <w:wordWrap w:val="0"/>
              <w:autoSpaceDE w:val="0"/>
              <w:autoSpaceDN w:val="0"/>
              <w:spacing w:after="20" w:before="0" w:line="300" w:lineRule="auto"/>
            </w:pPr>
            <w:r>
              <w:rPr>
                <w:rFonts w:ascii="Times New Roman" w:hAnsi="Times New Roman" w:eastAsia="신명조"/>
                <w:b w:val="0"/>
                <w:i w:val="0"/>
                <w:sz w:val="17"/>
              </w:rPr>
              <w:t>https://orcid.org/0009-0004-9626-5165</w:t>
            </w:r>
          </w:p>
          <w:p>
            <w:pPr>
              <w:wordWrap w:val="0"/>
              <w:autoSpaceDE w:val="0"/>
              <w:autoSpaceDN w:val="0"/>
              <w:spacing w:after="20" w:before="0" w:line="300" w:lineRule="auto"/>
            </w:pPr>
            <w:r>
              <w:rPr>
                <w:rFonts w:ascii="Times New Roman" w:hAnsi="Times New Roman" w:eastAsia="신명조"/>
                <w:b w:val="0"/>
                <w:i w:val="0"/>
                <w:sz w:val="17"/>
              </w:rPr>
              <w:t>e-mail : appop001@naver.com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김 지 민</w:t>
            </w:r>
          </w:p>
          <w:p>
            <w:pPr>
              <w:wordWrap w:val="0"/>
              <w:autoSpaceDE w:val="0"/>
              <w:autoSpaceDN w:val="0"/>
              <w:spacing w:after="20" w:before="0" w:line="300" w:lineRule="auto"/>
            </w:pPr>
            <w:r>
              <w:rPr>
                <w:rFonts w:ascii="Times New Roman" w:hAnsi="Times New Roman" w:eastAsia="신명조"/>
                <w:b w:val="0"/>
                <w:i w:val="0"/>
                <w:sz w:val="17"/>
              </w:rPr>
              <w:t>https://orcid.org/0009-0004-4645-227X</w:t>
            </w:r>
          </w:p>
          <w:p>
            <w:pPr>
              <w:wordWrap w:val="0"/>
              <w:autoSpaceDE w:val="0"/>
              <w:autoSpaceDN w:val="0"/>
              <w:spacing w:after="20" w:before="0" w:line="300" w:lineRule="auto"/>
            </w:pPr>
            <w:r>
              <w:rPr>
                <w:rFonts w:ascii="Times New Roman" w:hAnsi="Times New Roman" w:eastAsia="신명조"/>
                <w:b w:val="0"/>
                <w:i w:val="0"/>
                <w:sz w:val="17"/>
              </w:rPr>
              <w:t>e-mail : bckck@naver.com</w:t>
            </w:r>
          </w:p>
          <w:p>
            <w:pPr>
              <w:wordWrap w:val="0"/>
              <w:autoSpaceDE w:val="0"/>
              <w:autoSpaceDN w:val="0"/>
              <w:spacing w:after="20" w:before="0" w:line="300" w:lineRule="auto"/>
            </w:pPr>
            <w:r>
              <w:rPr>
                <w:rFonts w:ascii="Times New Roman" w:hAnsi="Times New Roman" w:eastAsia="신명조"/>
                <w:b w:val="0"/>
                <w:i w:val="0"/>
                <w:sz w:val="17"/>
              </w:rPr>
              <w:t>2020년～현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권 오 재</w:t>
            </w:r>
          </w:p>
          <w:p>
            <w:pPr>
              <w:wordWrap w:val="0"/>
              <w:autoSpaceDE w:val="0"/>
              <w:autoSpaceDN w:val="0"/>
              <w:spacing w:after="20" w:before="0" w:line="300" w:lineRule="auto"/>
            </w:pPr>
            <w:r>
              <w:rPr>
                <w:rFonts w:ascii="Times New Roman" w:hAnsi="Times New Roman" w:eastAsia="신명조"/>
                <w:b w:val="0"/>
                <w:i w:val="0"/>
                <w:sz w:val="17"/>
              </w:rPr>
              <w:t>https://orcid.org/0009-0002-9537-5317</w:t>
            </w:r>
          </w:p>
          <w:p>
            <w:pPr>
              <w:wordWrap w:val="0"/>
              <w:autoSpaceDE w:val="0"/>
              <w:autoSpaceDN w:val="0"/>
              <w:spacing w:after="20" w:before="0" w:line="300" w:lineRule="auto"/>
            </w:pPr>
            <w:r>
              <w:rPr>
                <w:rFonts w:ascii="Times New Roman" w:hAnsi="Times New Roman" w:eastAsia="신명조"/>
                <w:b w:val="0"/>
                <w:i w:val="0"/>
                <w:sz w:val="17"/>
              </w:rPr>
              <w:t>e-mail : rnjsdhwo4@naver.com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송 하 얼</w:t>
            </w:r>
          </w:p>
          <w:p>
            <w:pPr>
              <w:wordWrap w:val="0"/>
              <w:autoSpaceDE w:val="0"/>
              <w:autoSpaceDN w:val="0"/>
              <w:spacing w:after="20" w:before="0" w:line="300" w:lineRule="auto"/>
            </w:pPr>
            <w:r>
              <w:rPr>
                <w:rFonts w:ascii="Times New Roman" w:hAnsi="Times New Roman" w:eastAsia="신명조"/>
                <w:b w:val="0"/>
                <w:i w:val="0"/>
                <w:sz w:val="17"/>
              </w:rPr>
              <w:t>https://orcid.org/0009-0007-5429-4154</w:t>
            </w:r>
          </w:p>
          <w:p>
            <w:pPr>
              <w:wordWrap w:val="0"/>
              <w:autoSpaceDE w:val="0"/>
              <w:autoSpaceDN w:val="0"/>
              <w:spacing w:after="20" w:before="0" w:line="300" w:lineRule="auto"/>
            </w:pPr>
            <w:r>
              <w:rPr>
                <w:rFonts w:ascii="Times New Roman" w:hAnsi="Times New Roman" w:eastAsia="신명조"/>
                <w:b w:val="0"/>
                <w:i w:val="0"/>
                <w:sz w:val="17"/>
              </w:rPr>
              <w:t>e-mail : haeolsong@gmail.com</w:t>
            </w:r>
          </w:p>
          <w:p>
            <w:pPr>
              <w:wordWrap w:val="0"/>
              <w:autoSpaceDE w:val="0"/>
              <w:autoSpaceDN w:val="0"/>
              <w:spacing w:after="20" w:before="0" w:line="300" w:lineRule="auto"/>
            </w:pPr>
            <w:r>
              <w:rPr>
                <w:rFonts w:ascii="Times New Roman" w:hAnsi="Times New Roman" w:eastAsia="신명조"/>
                <w:b w:val="0"/>
                <w:i w:val="0"/>
                <w:sz w:val="17"/>
              </w:rPr>
              <w:t>2023년～현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서 정 일</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jeongilseo@dau.ac.kr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부교수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유 주 한</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unchinto@dau.ac.kr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조교수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