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300" w:lineRule="auto"/>
        <w:jc w:val="center"/>
      </w:pPr>
      <w:r>
        <w:rPr>
          <w:rFonts w:ascii="Times New Roman" w:hAnsi="Times New Roman" w:eastAsia="중고딕"/>
          <w:b w:val="0"/>
          <w:i w:val="0"/>
          <w:sz w:val="20"/>
        </w:rPr>
        <w:t>Sungjun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equips a patch-based transformer with the quantile forecasting structure and the variable selection network of TFT,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TFT의 분위 예측 구조와 변수선택망을 결합한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haeolsong@gmail.com</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