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The evaluation uses the current index constituents and an abstention threshold chosen with reference to the test split.</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다만 평가는 현재 시점의 지수 구성종목을 쓰고 기권 임계값도 시험구간을 참조하여 골랐다는 한계가 있다.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keepNext/>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wordWrap w:val="0"/>
        <w:autoSpaceDE w:val="0"/>
        <w:autoSpaceDN w:val="0"/>
        <w:spacing w:after="80" w:before="0" w:line="300" w:lineRule="auto"/>
      </w:pPr>
      <w:r>
        <w:rPr>
          <w:rFonts w:ascii="Times New Roman" w:hAnsi="Times New Roman" w:eastAsia="견고딕"/>
          <w:b/>
          <w:i w:val="0"/>
          <w:sz w:val="20"/>
        </w:rPr>
        <w:t>2. 관련 연구</w:t>
      </w:r>
    </w:p>
    <w:p>
      <w:pPr>
        <w:keepNext/>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wordWrap w:val="0"/>
        <w:autoSpaceDE w:val="0"/>
        <w:autoSpaceDN w:val="0"/>
        <w:spacing w:after="60" w:before="0" w:line="300" w:lineRule="auto"/>
      </w:pPr>
      <w:r>
        <w:rPr>
          <w:rFonts w:ascii="Times New Roman" w:hAnsi="Times New Roman" w:eastAsia="중고딕"/>
          <w:b w:val="0"/>
          <w:i w:val="0"/>
          <w:sz w:val="18"/>
        </w:rPr>
        <w:t>2.4 선택적 예측과 기권</w:t>
      </w:r>
    </w:p>
    <w:p>
      <w:pPr>
        <w:wordWrap w:val="0"/>
        <w:autoSpaceDE w:val="0"/>
        <w:autoSpaceDN w:val="0"/>
        <w:spacing w:after="80" w:before="0" w:line="341" w:lineRule="auto"/>
        <w:ind w:firstLine="180"/>
        <w:jc w:val="both"/>
      </w:pPr>
      <w:r>
        <w:rPr>
          <w:rFonts w:ascii="Times New Roman" w:hAnsi="Times New Roman" w:eastAsia="신명조"/>
          <w:b w:val="0"/>
          <w:i w:val="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wordWrap w:val="0"/>
        <w:autoSpaceDE w:val="0"/>
        <w:autoSpaceDN w:val="0"/>
        <w:spacing w:after="60" w:before="0" w:line="300" w:lineRule="auto"/>
      </w:pPr>
      <w:r>
        <w:rPr>
          <w:rFonts w:ascii="Times New Roman" w:hAnsi="Times New Roman" w:eastAsia="중고딕"/>
          <w:b w:val="0"/>
          <w:i w:val="0"/>
          <w:sz w:val="18"/>
        </w:rPr>
        <w:t>2.5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wordWrap w:val="0"/>
        <w:autoSpaceDE w:val="0"/>
        <w:autoSpaceDN w:val="0"/>
        <w:spacing w:after="80" w:before="0" w:line="300" w:lineRule="auto"/>
      </w:pPr>
      <w:r>
        <w:rPr>
          <w:rFonts w:ascii="Times New Roman" w:hAnsi="Times New Roman" w:eastAsia="견고딕"/>
          <w:b/>
          <w:i w:val="0"/>
          <w:sz w:val="20"/>
        </w:rPr>
        <w:t>3. 연구 방법</w:t>
      </w:r>
    </w:p>
    <w:p>
      <w:pPr>
        <w:keepNext/>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keepNext/>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Requirement</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Required property</w:t>
            </w:r>
          </w:p>
        </w:tc>
        <w:tc>
          <w:tcPr>
            <w:tcW w:type="dxa" w:w="150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Abstention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Sequence-length reduction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Scale differs by stock and era</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Non-stationary normalization</w:t>
            </w:r>
          </w:p>
        </w:tc>
        <w:tc>
          <w:tcPr>
            <w:tcW w:type="dxa" w:w="150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0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Macro cross-attention (design option, Sec. 5.4)</w:t>
            </w:r>
          </w:p>
        </w:tc>
      </w:tr>
    </w:tbl>
    <w:p>
      <w:pPr>
        <w:spacing w:after="80"/>
      </w:pPr>
    </w:p>
    <w:p>
      <w:pPr>
        <w:keepNext/>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6325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632500"/>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1446" w:right="1134" w:bottom="879" w:left="1134" w:header="567" w:footer="567" w:gutter="0"/>
          <w:docGrid w:linePitch="360"/>
          <w:cols w:num="1" w:space="453" w:equalWidth="1"/>
        </w:sectPr>
      </w:pPr>
    </w:p>
    <w:p>
      <w:pPr>
        <w:keepNext/>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C</w:t>
      </w:r>
      <w:r>
        <w:rPr>
          <w:rFonts w:ascii="Times New Roman" w:hAnsi="Times New Roman" w:eastAsia="신명조"/>
          <w:b w:val="0"/>
          <w:i w:val="0"/>
          <w:sz w:val="18"/>
        </w:rPr>
        <w:t xml:space="preserve">는 채널 수, </w:t>
      </w:r>
      <w:r>
        <w:rPr>
          <w:rFonts w:ascii="Times New Roman" w:hAnsi="Times New Roman" w:eastAsia="신명조"/>
          <w:b w:val="0"/>
          <w:i/>
          <w:sz w:val="18"/>
        </w:rPr>
        <w:t>N</w:t>
      </w:r>
      <w:r>
        <w:rPr>
          <w:rFonts w:ascii="Times New Roman" w:hAnsi="Times New Roman" w:eastAsia="신명조"/>
          <w:b w:val="0"/>
          <w:i w:val="0"/>
          <w:sz w:val="18"/>
        </w:rPr>
        <w:t xml:space="preserve">은 패치 수, </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는 패치 </w:t>
      </w:r>
      <w:r>
        <w:rPr>
          <w:rFonts w:ascii="Times New Roman" w:hAnsi="Times New Roman" w:eastAsia="신명조"/>
          <w:b w:val="0"/>
          <w:i/>
          <w:sz w:val="18"/>
        </w:rPr>
        <w:t>n</w:t>
      </w:r>
      <w:r>
        <w:rPr>
          <w:rFonts w:ascii="Times New Roman" w:hAnsi="Times New Roman" w:eastAsia="신명조"/>
          <w:b w:val="0"/>
          <w:i w:val="0"/>
          <w:sz w:val="18"/>
        </w:rPr>
        <w:t xml:space="preserve">·채널 </w:t>
      </w:r>
      <w:r>
        <w:rPr>
          <w:rFonts w:ascii="Times New Roman" w:hAnsi="Times New Roman" w:eastAsia="신명조"/>
          <w:b w:val="0"/>
          <w:i/>
          <w:sz w:val="18"/>
        </w:rPr>
        <w:t>i</w:t>
      </w:r>
      <w:r>
        <w:rPr>
          <w:rFonts w:ascii="Times New Roman" w:hAnsi="Times New Roman" w:eastAsia="신명조"/>
          <w:b w:val="0"/>
          <w:i w:val="0"/>
          <w:sz w:val="18"/>
        </w:rPr>
        <w:t>의 임베딩이고,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)은 그 패치의 모든 채널 임베딩을 이어 붙인 벡터,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는 정적 임베딩에서 얻은 문맥 벡터, GRN은 TFT의 게이트 잔차 신경망이다.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여기서 </w:t>
      </w:r>
      <w:r>
        <w:rPr>
          <w:rFonts w:ascii="Times New Roman" w:hAnsi="Times New Roman" w:eastAsia="신명조"/>
          <w:b w:val="0"/>
          <w:i/>
          <w:sz w:val="18"/>
        </w:rPr>
        <w:t>Z</w:t>
      </w:r>
      <w:r>
        <w:rPr>
          <w:rFonts w:ascii="Times New Roman" w:hAnsi="Times New Roman" w:eastAsia="신명조"/>
          <w:b w:val="0"/>
          <w:i w:val="0"/>
          <w:sz w:val="18"/>
        </w:rPr>
        <w:t xml:space="preserve">는 종목 표현,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은 매크로 부호화, </w:t>
      </w:r>
      <w:r>
        <w:rPr>
          <w:rFonts w:ascii="Times New Roman" w:hAnsi="Times New Roman" w:eastAsia="신명조"/>
          <w:b w:val="0"/>
          <w:i/>
          <w:sz w:val="18"/>
        </w:rPr>
        <w:t>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xml:space="preserve">는 투영 행렬,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b</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softplus(δ</w:t>
      </w:r>
      <w:r>
        <w:rPr>
          <w:rFonts w:ascii="Times New Roman" w:hAnsi="Times New Roman" w:eastAsia="신명조"/>
          <w:b w:val="0"/>
          <w:i/>
          <w:sz w:val="18"/>
          <w:vertAlign w:val="subscript"/>
        </w:rPr>
        <w:t>2</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sz w:val="18"/>
        </w:rPr>
        <w:t>b</w:t>
      </w:r>
      <w:r>
        <w:rPr>
          <w:rFonts w:ascii="Times New Roman" w:hAnsi="Times New Roman" w:eastAsia="신명조"/>
          <w:b w:val="0"/>
          <w:i w:val="0"/>
          <w:sz w:val="18"/>
        </w:rPr>
        <w:t>와 δ</w:t>
      </w:r>
      <w:r>
        <w:rPr>
          <w:rFonts w:ascii="Times New Roman" w:hAnsi="Times New Roman" w:eastAsia="신명조"/>
          <w:b w:val="0"/>
          <w:i/>
          <w:sz w:val="18"/>
          <w:vertAlign w:val="subscript"/>
        </w:rPr>
        <w:t>1</w:t>
      </w:r>
      <w:r>
        <w:rPr>
          <w:rFonts w:ascii="Times New Roman" w:hAnsi="Times New Roman" w:eastAsia="신명조"/>
          <w:b w:val="0"/>
          <w:i w:val="0"/>
          <w:sz w:val="18"/>
        </w:rPr>
        <w:t>, δ</w:t>
      </w:r>
      <w:r>
        <w:rPr>
          <w:rFonts w:ascii="Times New Roman" w:hAnsi="Times New Roman" w:eastAsia="신명조"/>
          <w:b w:val="0"/>
          <w:i/>
          <w:sz w:val="18"/>
          <w:vertAlign w:val="subscript"/>
        </w:rPr>
        <w:t>2</w:t>
      </w:r>
      <w:r>
        <w:rPr>
          <w:rFonts w:ascii="Times New Roman" w:hAnsi="Times New Roman" w:eastAsia="신명조"/>
          <w:b w:val="0"/>
          <w:i w:val="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keepNext/>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Item</w:t>
            </w:r>
          </w:p>
        </w:tc>
        <w:tc>
          <w:tcPr>
            <w:tcW w:type="dxa" w:w="2254"/>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Lookback / patch / stride</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Dynamic / macro / static inputs</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Normalization</w:t>
            </w:r>
          </w:p>
        </w:tc>
        <w:tc>
          <w:tcPr>
            <w:tcW w:type="dxa" w:w="225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5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keepNext/>
        <w:wordWrap w:val="0"/>
        <w:autoSpaceDE w:val="0"/>
        <w:autoSpaceDN w:val="0"/>
        <w:spacing w:after="80" w:before="0" w:line="300" w:lineRule="auto"/>
      </w:pPr>
      <w:r>
        <w:rPr>
          <w:rFonts w:ascii="Times New Roman" w:hAnsi="Times New Roman" w:eastAsia="견고딕"/>
          <w:b/>
          <w:i w:val="0"/>
          <w:sz w:val="20"/>
        </w:rPr>
        <w:t>4. 자료와 실험 설계</w:t>
      </w:r>
    </w:p>
    <w:p>
      <w:pPr>
        <w:keepNext/>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keepNext/>
        <w:wordWrap w:val="0"/>
        <w:autoSpaceDE w:val="0"/>
        <w:autoSpaceDN w:val="0"/>
        <w:spacing w:after="40" w:before="0" w:line="288" w:lineRule="auto"/>
      </w:pPr>
      <w:r>
        <w:rPr>
          <w:rFonts w:ascii="Times New Roman" w:hAnsi="Times New Roman" w:eastAsia="중고딕"/>
          <w:b w:val="0"/>
          <w:i w:val="0"/>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Group</w:t>
            </w:r>
          </w:p>
        </w:tc>
        <w:tc>
          <w:tcPr>
            <w:tcW w:type="dxa" w:w="2381"/>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Channels</w:t>
            </w:r>
          </w:p>
        </w:tc>
        <w:tc>
          <w:tcPr>
            <w:tcW w:type="dxa" w:w="51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n</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Dynamic (stock)</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30</w:t>
            </w:r>
          </w:p>
        </w:tc>
      </w:tr>
      <w:tr>
        <w:trPr>
          <w:cantSplit/>
        </w:trPr>
        <w:tc>
          <w:tcPr>
            <w:tcW w:type="dxa" w:w="161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Macro sequences</w:t>
            </w:r>
          </w:p>
        </w:tc>
        <w:tc>
          <w:tcPr>
            <w:tcW w:type="dxa" w:w="2381"/>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13</w:t>
            </w:r>
          </w:p>
        </w:tc>
      </w:tr>
      <w:tr>
        <w:trPr>
          <w:cantSplit/>
        </w:trPr>
        <w:tc>
          <w:tcPr>
            <w:tcW w:type="dxa" w:w="161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238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51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w:t>
      </w:r>
      <w:r>
        <w:rPr>
          <w:rFonts w:ascii="Times New Roman" w:hAnsi="Times New Roman" w:eastAsia="신명조"/>
          <w:b w:val="0"/>
          <w:i/>
          <w:sz w:val="18"/>
          <w:vertAlign w:val="superscript"/>
        </w:rPr>
        <w:t>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80" w:before="0" w:line="341" w:lineRule="auto"/>
        <w:ind w:firstLine="180"/>
        <w:jc w:val="both"/>
      </w:pPr>
      <w:r>
        <w:rPr>
          <w:rFonts w:ascii="Times New Roman" w:hAnsi="Times New Roman" w:eastAsia="신명조"/>
          <w:b w:val="0"/>
          <w:i/>
          <w:sz w:val="18"/>
        </w:rPr>
        <w:t>r</w:t>
      </w:r>
      <w:r>
        <w:rPr>
          <w:rFonts w:ascii="Times New Roman" w:hAnsi="Times New Roman" w:eastAsia="신명조"/>
          <w:b w:val="0"/>
          <w:i/>
          <w:sz w:val="18"/>
          <w:vertAlign w:val="subscript"/>
        </w:rPr>
        <w:t>t</w:t>
      </w:r>
      <w:r>
        <w:rPr>
          <w:rFonts w:ascii="Times New Roman" w:hAnsi="Times New Roman" w:eastAsia="신명조"/>
          <w:b w:val="0"/>
          <w:i w:val="0"/>
          <w:sz w:val="18"/>
        </w:rPr>
        <w:t xml:space="preserve">는 일별 로그수익률이고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w:t>
      </w:r>
      <w:r>
        <w:rPr>
          <w:rFonts w:ascii="Times New Roman" w:hAnsi="Times New Roman" w:eastAsia="신명조"/>
          <w:b w:val="0"/>
          <w:i w:val="0"/>
          <w:sz w:val="18"/>
        </w:rPr>
        <w:t>는 같은 날 코스피200의 로그수익률이다.</w:t>
      </w:r>
    </w:p>
    <w:p>
      <w:pPr>
        <w:keepNext/>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wordWrap w:val="0"/>
        <w:autoSpaceDE w:val="0"/>
        <w:autoSpaceDN w:val="0"/>
        <w:spacing w:after="80" w:before="0" w:line="300" w:lineRule="auto"/>
      </w:pPr>
      <w:r>
        <w:rPr>
          <w:rFonts w:ascii="Times New Roman" w:hAnsi="Times New Roman" w:eastAsia="견고딕"/>
          <w:b/>
          <w:i w:val="0"/>
          <w:sz w:val="20"/>
        </w:rPr>
        <w:t>5. 실험 결과</w:t>
      </w:r>
    </w:p>
    <w:p>
      <w:pPr>
        <w:keepNext/>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wordWrap w:val="0"/>
        <w:autoSpaceDE w:val="0"/>
        <w:autoSpaceDN w:val="0"/>
        <w:spacing w:after="80" w:before="0" w:line="341" w:lineRule="auto"/>
        <w:ind w:firstLine="180"/>
        <w:jc w:val="both"/>
      </w:pPr>
      <w:r>
        <w:rPr>
          <w:rFonts w:ascii="Times New Roman" w:hAnsi="Times New Roman" w:eastAsia="신명조"/>
          <w:b w:val="0"/>
          <w:i w:val="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Model</w:t>
            </w:r>
          </w:p>
        </w:tc>
        <w:tc>
          <w:tcPr>
            <w:tcW w:type="dxa" w:w="804"/>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Params</w:t>
            </w:r>
          </w:p>
        </w:tc>
        <w:tc>
          <w:tcPr>
            <w:tcW w:type="dxa" w:w="1696"/>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Validation</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vs baseline</w:t>
            </w:r>
          </w:p>
        </w:tc>
        <w:tc>
          <w:tcPr>
            <w:tcW w:type="dxa" w:w="205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Test</w:t>
            </w:r>
          </w:p>
        </w:tc>
        <w:tc>
          <w:tcPr>
            <w:tcW w:type="dxa" w:w="98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vs baseline</w:t>
            </w:r>
          </w:p>
        </w:tc>
        <w:tc>
          <w:tcPr>
            <w:tcW w:type="dxa" w:w="89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PatchTST + quantile head</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0.035M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0.012166 ± 0.000022</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0.018686 ± 0.000130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+0.36%</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1-5</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original</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0.687M</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0.011935 ± 0.000020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+1.97%</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0.018325 ± 0.000091</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+2.28%</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1-2</w:t>
            </w:r>
          </w:p>
        </w:tc>
      </w:tr>
      <w:tr>
        <w:trPr>
          <w:cantSplit/>
        </w:trPr>
        <w:tc>
          <w:tcPr>
            <w:tcW w:type="dxa" w:w="214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 GBDT</w:t>
            </w:r>
          </w:p>
        </w:tc>
        <w:tc>
          <w:tcPr>
            <w:tcW w:type="dxa" w:w="804"/>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375 trees</w:t>
            </w:r>
          </w:p>
        </w:tc>
        <w:tc>
          <w:tcPr>
            <w:tcW w:type="dxa" w:w="169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0.011890</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+2.34%</w:t>
            </w:r>
          </w:p>
        </w:tc>
        <w:tc>
          <w:tcPr>
            <w:tcW w:type="dxa" w:w="205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0.018107</w:t>
            </w:r>
          </w:p>
        </w:tc>
        <w:tc>
          <w:tcPr>
            <w:tcW w:type="dxa" w:w="98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+3.45%</w:t>
            </w:r>
          </w:p>
        </w:tc>
        <w:tc>
          <w:tcPr>
            <w:tcW w:type="dxa" w:w="89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w:t>
            </w:r>
          </w:p>
        </w:tc>
      </w:tr>
      <w:tr>
        <w:trPr>
          <w:cantSplit/>
        </w:trPr>
        <w:tc>
          <w:tcPr>
            <w:tcW w:type="dxa" w:w="214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804"/>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6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205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98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89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시험구간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Model</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s / epoch</w:t>
            </w:r>
          </w:p>
        </w:tc>
        <w:tc>
          <w:tcPr>
            <w:tcW w:type="dxa" w:w="157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Latency / stock</w:t>
            </w:r>
          </w:p>
        </w:tc>
        <w:tc>
          <w:tcPr>
            <w:tcW w:type="dxa" w:w="136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Universe pass</w:t>
            </w:r>
          </w:p>
        </w:tc>
        <w:tc>
          <w:tcPr>
            <w:tcW w:type="dxa" w:w="105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Activation</w:t>
            </w:r>
          </w:p>
        </w:tc>
        <w:tc>
          <w:tcPr>
            <w:tcW w:type="dxa" w:w="126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PatchTST (+ quantile head)</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110.8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0.092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18.6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172.8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original</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550.8</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0.693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139.4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679.1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Ours</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143.5</w:t>
            </w:r>
          </w:p>
        </w:tc>
        <w:tc>
          <w:tcPr>
            <w:tcW w:type="dxa" w:w="157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0.143 ms</w:t>
            </w:r>
          </w:p>
        </w:tc>
        <w:tc>
          <w:tcPr>
            <w:tcW w:type="dxa" w:w="136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28.7 ms</w:t>
            </w:r>
          </w:p>
        </w:tc>
        <w:tc>
          <w:tcPr>
            <w:tcW w:type="dxa" w:w="105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132.9 MB</w:t>
            </w:r>
          </w:p>
        </w:tc>
        <w:tc>
          <w:tcPr>
            <w:tcW w:type="dxa" w:w="126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2.00 MB</w:t>
            </w:r>
          </w:p>
        </w:tc>
      </w:tr>
      <w:tr>
        <w:trPr>
          <w:cantSplit/>
        </w:trPr>
        <w:tc>
          <w:tcPr>
            <w:tcW w:type="dxa" w:w="2729"/>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57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36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05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26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wordWrap w:val="0"/>
        <w:autoSpaceDE w:val="0"/>
        <w:autoSpaceDN w:val="0"/>
        <w:spacing w:after="80" w:before="0" w:line="341" w:lineRule="auto"/>
        <w:ind w:firstLine="180"/>
        <w:jc w:val="both"/>
      </w:pPr>
      <w:r>
        <w:rPr>
          <w:rFonts w:ascii="Times New Roman" w:hAnsi="Times New Roman" w:eastAsia="신명조"/>
          <w:b w:val="0"/>
          <w:i w:val="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Model</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Abstain</w:t>
            </w:r>
          </w:p>
        </w:tc>
        <w:tc>
          <w:tcPr>
            <w:tcW w:type="dxa" w:w="1158"/>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Q1</w:t>
            </w:r>
          </w:p>
        </w:tc>
        <w:tc>
          <w:tcPr>
            <w:tcW w:type="dxa" w:w="164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Q4</w:t>
            </w:r>
          </w:p>
        </w:tc>
        <w:tc>
          <w:tcPr>
            <w:tcW w:type="dxa" w:w="1737"/>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Pinball, abstained</w:t>
            </w:r>
          </w:p>
        </w:tc>
        <w:tc>
          <w:tcPr>
            <w:tcW w:type="dxa" w:w="2026"/>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PatchTST + quantile</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5.24 ± 0.32%</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3.45 ± 2.04%</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8.02 ± 2.75%</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0.02127 ± 0.00171</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Quantile GBDT</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5.36%</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17.04%</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0.02622</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TFT, original</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5.28 ± 0.13%</w:t>
            </w:r>
          </w:p>
        </w:tc>
        <w:tc>
          <w:tcPr>
            <w:tcW w:type="dxa" w:w="115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0.00 ± 0.00%</w:t>
            </w:r>
          </w:p>
        </w:tc>
        <w:tc>
          <w:tcPr>
            <w:tcW w:type="dxa" w:w="164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16.71 ± 0.41%</w:t>
            </w:r>
          </w:p>
        </w:tc>
        <w:tc>
          <w:tcPr>
            <w:tcW w:type="dxa" w:w="17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0.02584 ± 0.00104</w:t>
            </w:r>
          </w:p>
        </w:tc>
        <w:tc>
          <w:tcPr>
            <w:tcW w:type="dxa" w:w="2026"/>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158"/>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4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73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202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시험구간을 참조하여 선택되었으므로 5.91%라는 값은 표본 밖 수치가 아니다.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keepNext/>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Variant</w:t>
            </w:r>
          </w:p>
        </w:tc>
        <w:tc>
          <w:tcPr>
            <w:tcW w:type="dxa" w:w="562"/>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Params</w:t>
            </w:r>
          </w:p>
        </w:tc>
        <w:tc>
          <w:tcPr>
            <w:tcW w:type="dxa" w:w="1779"/>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Test pinball</w:t>
            </w:r>
          </w:p>
        </w:tc>
        <w:tc>
          <w:tcPr>
            <w:tcW w:type="dxa" w:w="1030"/>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vs baseline</w:t>
            </w:r>
          </w:p>
        </w:tc>
        <w:tc>
          <w:tcPr>
            <w:tcW w:type="dxa" w:w="937"/>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Ours lower</w:t>
            </w:r>
          </w:p>
        </w:tc>
        <w:tc>
          <w:tcPr>
            <w:tcW w:type="dxa" w:w="1218"/>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Q4 abstain</w:t>
            </w:r>
          </w:p>
        </w:tc>
        <w:tc>
          <w:tcPr>
            <w:tcW w:type="dxa" w:w="1405"/>
            <w:tcBorders>
              <w:left w:val="none" w:sz="0" w:color="000000"/>
              <w:right w:val="none" w:sz="0" w:color="000000"/>
              <w:top w:val="single" w:sz="12" w:color="000000"/>
              <w:bottom w:val="single" w:sz="6" w:color="000000"/>
            </w:tcBorders>
          </w:tcPr>
          <w:p>
            <w:pPr>
              <w:keepNext/>
              <w:wordWrap w:val="0"/>
              <w:autoSpaceDE w:val="0"/>
              <w:autoSpaceDN w:val="0"/>
              <w:spacing w:after="20" w:before="20"/>
            </w:pPr>
            <w:r/>
            <w:r>
              <w:rPr>
                <w:rFonts w:ascii="Times New Roman" w:hAnsi="Times New Roman" w:eastAsia="신명조"/>
                <w:b/>
                <w:i w:val="0"/>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Ours</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0.500M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0.017826 ± 0.000059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+4.95%</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20.07 ± 0.71%</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Variable selection to linear merge</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0.117M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0.017837 ± 0.000078</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+4.89%</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3/5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19.90 ± 0.18%</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No macro cross-attention</w:t>
            </w:r>
          </w:p>
        </w:tc>
        <w:tc>
          <w:tcPr>
            <w:tcW w:type="dxa" w:w="562"/>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0.468M</w:t>
            </w:r>
          </w:p>
        </w:tc>
        <w:tc>
          <w:tcPr>
            <w:tcW w:type="dxa" w:w="1779"/>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0.017786 ± 0.000029</w:t>
            </w:r>
          </w:p>
        </w:tc>
        <w:tc>
          <w:tcPr>
            <w:tcW w:type="dxa" w:w="1030"/>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+5.16%</w:t>
            </w:r>
          </w:p>
        </w:tc>
        <w:tc>
          <w:tcPr>
            <w:tcW w:type="dxa" w:w="937"/>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2/5</w:t>
            </w:r>
          </w:p>
        </w:tc>
        <w:tc>
          <w:tcPr>
            <w:tcW w:type="dxa" w:w="1218"/>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20.51 ± 0.46%</w:t>
            </w:r>
          </w:p>
        </w:tc>
        <w:tc>
          <w:tcPr>
            <w:tcW w:type="dxa" w:w="1405"/>
            <w:tcBorders>
              <w:left w:val="none" w:sz="0" w:color="000000"/>
              <w:right w:val="none" w:sz="0" w:color="000000"/>
              <w:top w:val="none" w:sz="0" w:color="000000"/>
              <w:bottom w:val="none" w:sz="0" w:color="000000"/>
            </w:tcBorders>
          </w:tcPr>
          <w:p>
            <w:pPr>
              <w:keepNext/>
              <w:wordWrap w:val="0"/>
              <w:autoSpaceDE w:val="0"/>
              <w:autoSpaceDN w:val="0"/>
              <w:spacing w:after="20" w:before="20"/>
            </w:pPr>
            <w:r/>
            <w:r>
              <w:rPr>
                <w:rFonts w:ascii="Times New Roman" w:hAnsi="Times New Roman" w:eastAsia="신명조"/>
                <w:b w:val="0"/>
                <w:i w:val="0"/>
                <w:sz w:val="16"/>
              </w:rPr>
              <w:t>+0.080 ± 0.035</w:t>
            </w:r>
          </w:p>
        </w:tc>
      </w:tr>
      <w:tr>
        <w:trPr>
          <w:cantSplit/>
        </w:trPr>
        <w:tc>
          <w:tcPr>
            <w:tcW w:type="dxa" w:w="262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56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779"/>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030"/>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93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218"/>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405"/>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시험구간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예측 손실에 한정된다. 거래비용과 체결을 포함한 포트폴리오 수준의 성과는 측정하지 않았으므로, 기권이 투자 성과에 미치는 영향은 본 논문의 결과로 답할 수 없다. 평가 기간 자료가 입력 설계와 기권 기준 선택에 일부 참고되었고 현재 시점의 구성종목으로 유니버스를 정하였으므로, 완전한 사후 검증도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등각 분위회귀 보정[13]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keepNext/>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C. K. Chow, "On optimum recognition error and reject tradeoff," </w:t>
      </w:r>
      <w:r>
        <w:rPr>
          <w:rFonts w:ascii="Times New Roman" w:hAnsi="Times New Roman" w:eastAsia="신명조"/>
          <w:b w:val="0"/>
          <w:i/>
          <w:sz w:val="17"/>
        </w:rPr>
        <w:t>IEEE Transactions on Information Theory</w:t>
      </w:r>
      <w:r>
        <w:rPr>
          <w:rFonts w:ascii="Times New Roman" w:hAnsi="Times New Roman" w:eastAsia="신명조"/>
          <w:b w:val="0"/>
          <w:i w:val="0"/>
          <w:sz w:val="17"/>
        </w:rPr>
        <w:t>, Vol.16, No.1, pp.41-46, 1970.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R. El-Yaniv and Y. Wiener, "On the foundations of noise-free selective classification,"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Vol.11, pp.1605-1641, 2010.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Y. Geifman and R. El-Yaniv, "Selective classification for deep neural networks,"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pp.4878-4887,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[19]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[20] S. Makridakis, E. Spiliotis, and V. Assimakopoulos, "Statistical and machine learning forecasting methods: Concerns and ways forward," </w:t>
      </w:r>
      <w:r>
        <w:rPr>
          <w:rFonts w:ascii="Times New Roman" w:hAnsi="Times New Roman" w:eastAsia="신명조"/>
          <w:b w:val="0"/>
          <w:i/>
          <w:sz w:val="17"/>
        </w:rPr>
        <w:t>PLOS ONE</w:t>
      </w:r>
      <w:r>
        <w:rPr>
          <w:rFonts w:ascii="Times New Roman" w:hAnsi="Times New Roman" w:eastAsia="신명조"/>
          <w:b w:val="0"/>
          <w:i w:val="0"/>
          <w:sz w:val="17"/>
        </w:rPr>
        <w:t>, Vol.13, No.3, e0194889,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[21]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[22] F. X. Diebold and R. S. Mariano, "Comparing predictive accuracy," </w:t>
      </w:r>
      <w:r>
        <w:rPr>
          <w:rFonts w:ascii="Times New Roman" w:hAnsi="Times New Roman" w:eastAsia="신명조"/>
          <w:b w:val="0"/>
          <w:i/>
          <w:sz w:val="17"/>
        </w:rPr>
        <w:t>Journal of Business &amp; Economic Statistics</w:t>
      </w:r>
      <w:r>
        <w:rPr>
          <w:rFonts w:ascii="Times New Roman" w:hAnsi="Times New Roman" w:eastAsia="신명조"/>
          <w:b w:val="0"/>
          <w:i w:val="0"/>
          <w:sz w:val="17"/>
        </w:rPr>
        <w:t>, Vol.13, No.3, pp.253-263, 1995.</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[23] W. K. Newey and K. D. West, "A simple, positive semi-definite, heteroskedasticity and autocorrelation consistent covariance matrix," </w:t>
      </w:r>
      <w:r>
        <w:rPr>
          <w:rFonts w:ascii="Times New Roman" w:hAnsi="Times New Roman" w:eastAsia="신명조"/>
          <w:b w:val="0"/>
          <w:i/>
          <w:sz w:val="17"/>
        </w:rPr>
        <w:t>Econometrica</w:t>
      </w:r>
      <w:r>
        <w:rPr>
          <w:rFonts w:ascii="Times New Roman" w:hAnsi="Times New Roman" w:eastAsia="신명조"/>
          <w:b w:val="0"/>
          <w:i w:val="0"/>
          <w:sz w:val="17"/>
        </w:rPr>
        <w:t>, Vol.55, No.3, pp.703-708, 1987.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[24] D. Harvey, S. Leybourne, and P. Newbold, "Testing the equality of prediction mean squared errors," </w:t>
      </w:r>
      <w:r>
        <w:rPr>
          <w:rFonts w:ascii="Times New Roman" w:hAnsi="Times New Roman" w:eastAsia="신명조"/>
          <w:b w:val="0"/>
          <w:i/>
          <w:sz w:val="17"/>
        </w:rPr>
        <w:t>International Journal of Forecasting</w:t>
      </w:r>
      <w:r>
        <w:rPr>
          <w:rFonts w:ascii="Times New Roman" w:hAnsi="Times New Roman" w:eastAsia="신명조"/>
          <w:b w:val="0"/>
          <w:i w:val="0"/>
          <w:sz w:val="17"/>
        </w:rPr>
        <w:t>, Vol.13, No.2, pp.281-291, 1997.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[25]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[26] F. Pedregosa et al., "Scikit-learn: Machine learning in Python," </w:t>
      </w:r>
      <w:r>
        <w:rPr>
          <w:rFonts w:ascii="Times New Roman" w:hAnsi="Times New Roman" w:eastAsia="신명조"/>
          <w:b w:val="0"/>
          <w:i/>
          <w:sz w:val="17"/>
        </w:rPr>
        <w:t>Journal of Machine Learning Research</w:t>
      </w:r>
      <w:r>
        <w:rPr>
          <w:rFonts w:ascii="Times New Roman" w:hAnsi="Times New Roman" w:eastAsia="신명조"/>
          <w:b w:val="0"/>
          <w:i w:val="0"/>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