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300" w:lineRule="auto"/>
      </w:pPr>
      <w:r>
        <w:rPr>
          <w:rFonts w:ascii="Times New Roman" w:hAnsi="Times New Roman" w:eastAsia="태고딕"/>
          <w:b w:val="0"/>
          <w:i w:val="0"/>
          <w:sz w:val="15"/>
        </w:rPr>
        <w:t>Keywords : Stock Return Forecasting, Patch-Based Transformer, Quantile Regression,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300" w:lineRule="auto"/>
      </w:pPr>
      <w:r>
        <w:rPr>
          <w:rFonts w:ascii="Times New Roman" w:hAnsi="Times New Roman" w:eastAsia="태고딕"/>
          <w:b w:val="0"/>
          <w:i w:val="0"/>
          <w:sz w:val="15"/>
        </w:rPr>
        <w:t>키워드 : 주가 수익률 예측, 패치 기반 트랜스포머, 분위회귀, 예측 불확실성, 기권</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 (vs. linear merge, Sec. 5.4)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 The variable selection network and the cross-attention are design options; removing either did not change the results (Sec. 5.4).</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80" w:before="0" w:line="341" w:lineRule="auto"/>
        <w:ind w:firstLine="180"/>
        <w:jc w:val="both"/>
      </w:pPr>
      <w:r>
        <w:rPr>
          <w:rFonts w:ascii="Times New Roman" w:hAnsi="Times New Roman" w:eastAsia="신명조"/>
          <w:b w:val="0"/>
          <w:i w:val="0"/>
          <w:sz w:val="18"/>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v</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w:t>
      </w:r>
      <w:r>
        <w:rPr>
          <w:rFonts w:ascii="Times New Roman" w:hAnsi="Times New Roman" w:eastAsia="신명조"/>
          <w:b w:val="0"/>
          <w:i/>
          <w:sz w:val="18"/>
        </w:rPr>
        <w:t>n</w:t>
      </w:r>
      <w:r>
        <w:rPr>
          <w:rFonts w:ascii="Times New Roman" w:hAnsi="Times New Roman" w:eastAsia="신명조"/>
          <w:b w:val="0"/>
          <w:i w:val="0"/>
          <w:sz w:val="18"/>
        </w:rPr>
        <w:t xml:space="preserve"> = 1, …, </w:t>
      </w:r>
      <w:r>
        <w:rPr>
          <w:rFonts w:ascii="Times New Roman" w:hAnsi="Times New Roman" w:eastAsia="신명조"/>
          <w:b w:val="0"/>
          <w:i/>
          <w:sz w:val="18"/>
        </w:rPr>
        <w:t>N</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w:t>
      </w:r>
      <w:r>
        <w:rPr>
          <w:rFonts w:ascii="Times New Roman" w:hAnsi="Times New Roman" w:eastAsia="신명조"/>
          <w:b w:val="0"/>
          <w:i/>
          <w:sz w:val="18"/>
        </w:rPr>
        <w:t>v</w:t>
      </w:r>
      <w:r>
        <w:rPr>
          <w:rFonts w:ascii="Times New Roman" w:hAnsi="Times New Roman" w:eastAsia="신명조"/>
          <w:b w:val="0"/>
          <w:i/>
          <w:sz w:val="18"/>
          <w:vertAlign w:val="subscript"/>
        </w:rPr>
        <w:t>n,i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n,i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z w:val="18"/>
        </w:rPr>
        <w:t>v</w:t>
      </w:r>
      <w:r>
        <w:rPr>
          <w:rFonts w:ascii="Times New Roman" w:hAnsi="Times New Roman" w:eastAsia="신명조"/>
          <w:b w:val="0"/>
          <w:i w:val="0"/>
          <w:sz w:val="18"/>
        </w:rPr>
        <w:t xml:space="preserve"> ∈ ℝ</w:t>
      </w:r>
      <w:r>
        <w:rPr>
          <w:rFonts w:ascii="Times New Roman" w:hAnsi="Times New Roman" w:eastAsia="신명조"/>
          <w:b w:val="0"/>
          <w:i/>
          <w:sz w:val="18"/>
          <w:vertAlign w:val="superscript"/>
        </w:rPr>
        <w:t>N×C</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다만 이 모듈의 정확도 기여는 확인되지 않았다(5.4절).</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 &lt;Table 4&gt;를 얻은 캐글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오차를 약 4분의 1의 비용으로 달성하였다. 다섯 번의 반복 실험을 짝지은 열 번의 비교 전부에서 제안 모형의 손실이 낮았고, 조기종료에 쓰이지 않은 검정구간에서는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변수선택망, 정적 문맥, 매크로 크로스어텐션은 하나씩 제거해도 결과가 달라지지 않아, 개선이 인코더 앞 채널 축약 구조 자체에서 오는지 구성요소 간 대체에서 오는지 가리지 못하였다(5.4절).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 O. B. Sezer, M. U. Gudelek, and A. M. Ozbayoglu, "Financial time series forecasting with deep learning: A systematic literature review: 2005-2019," </w:t>
      </w:r>
      <w:r>
        <w:rPr>
          <w:rFonts w:ascii="Times New Roman" w:hAnsi="Times New Roman" w:eastAsia="신명조"/>
          <w:b w:val="0"/>
          <w:i/>
          <w:sz w:val="17"/>
        </w:rPr>
        <w:t>Applied Soft Computing</w:t>
      </w:r>
      <w:r>
        <w:rPr>
          <w:rFonts w:ascii="Times New Roman" w:hAnsi="Times New Roman" w:eastAsia="신명조"/>
          <w:b w:val="0"/>
          <w:i w:val="0"/>
          <w:sz w:val="17"/>
        </w:rPr>
        <w:t>,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[2] T. S. Kim and S. Lee, "Deep learning-based stock fluctuation prediction according to overseas indices and trading trends,"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[3] A. Vaswani et al., "Attention is all you need,"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pp.5998-6008, 2017.</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[4] H. Zhou et al., "Informer: Beyond efficient transformer for long sequence time-series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pp.11106-11115,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[5] H. Wu, J. Xu, J. Wang, and M. Long, "Autoformer: Decomposition transformers with auto-correlation for long-term series forecasting,"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pp.22419-22430,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[6] A. Zeng, M. Chen, L. Zhang, and Q. Xu, "Are transformers effective for time series forecasting?," in </w:t>
      </w:r>
      <w:r>
        <w:rPr>
          <w:rFonts w:ascii="Times New Roman" w:hAnsi="Times New Roman" w:eastAsia="신명조"/>
          <w:b w:val="0"/>
          <w:i/>
          <w:sz w:val="17"/>
        </w:rPr>
        <w:t>Proceedings of the AAAI Conference on Artificial Intelligence</w:t>
      </w:r>
      <w:r>
        <w:rPr>
          <w:rFonts w:ascii="Times New Roman" w:hAnsi="Times New Roman" w:eastAsia="신명조"/>
          <w:b w:val="0"/>
          <w:i w:val="0"/>
          <w:sz w:val="17"/>
        </w:rPr>
        <w:t>, pp.11121-11128,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[7] Y. Nie, N. H. Nguyen, P. Sinthong, and J. Kalagnanam, "A time series is worth 64 words: Long-term forecasting with transformers,"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2023.</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[8] B. Lim, S. O. Arik, N. Loeff, and T. Pfister, "Temporal fusion transformers for interpretable multi-horizon time series forecasting," </w:t>
      </w:r>
      <w:r>
        <w:rPr>
          <w:rFonts w:ascii="Times New Roman" w:hAnsi="Times New Roman" w:eastAsia="신명조"/>
          <w:b w:val="0"/>
          <w:i/>
          <w:sz w:val="17"/>
        </w:rPr>
        <w:t>International Journal of Forecasting</w:t>
      </w:r>
      <w:r>
        <w:rPr>
          <w:rFonts w:ascii="Times New Roman" w:hAnsi="Times New Roman" w:eastAsia="신명조"/>
          <w:b w:val="0"/>
          <w:i w:val="0"/>
          <w:sz w:val="17"/>
        </w:rPr>
        <w:t>,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[9] I. K. Kim, D. H. Kim, and J. Lee, "Temporal fusion transformers and deep learning methods for multi-horizon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[10] D.-K. Kim and K. Kim, "Style-based transformer for time series forecasting,"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[11] T. Kim, J. Kim, Y. Tae, C. Park, J.-H. Choi, and J. Choo, "Reversible instance normalization for accurate time-series forecasting against distribution shift," in </w:t>
      </w:r>
      <w:r>
        <w:rPr>
          <w:rFonts w:ascii="Times New Roman" w:hAnsi="Times New Roman" w:eastAsia="신명조"/>
          <w:b w:val="0"/>
          <w:i/>
          <w:sz w:val="17"/>
        </w:rPr>
        <w:t>Proceedings of the International Conference on Learning Representations</w:t>
      </w:r>
      <w:r>
        <w:rPr>
          <w:rFonts w:ascii="Times New Roman" w:hAnsi="Times New Roman" w:eastAsia="신명조"/>
          <w:b w:val="0"/>
          <w:i w:val="0"/>
          <w:sz w:val="17"/>
        </w:rPr>
        <w:t>, 2022.</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[12] R. Koenker and G. Bassett, "Regression quantiles," </w:t>
      </w:r>
      <w:r>
        <w:rPr>
          <w:rFonts w:ascii="Times New Roman" w:hAnsi="Times New Roman" w:eastAsia="신명조"/>
          <w:b w:val="0"/>
          <w:i/>
          <w:sz w:val="17"/>
        </w:rPr>
        <w:t>Econometrica</w:t>
      </w:r>
      <w:r>
        <w:rPr>
          <w:rFonts w:ascii="Times New Roman" w:hAnsi="Times New Roman" w:eastAsia="신명조"/>
          <w:b w:val="0"/>
          <w:i w:val="0"/>
          <w:sz w:val="17"/>
        </w:rPr>
        <w:t>,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[13] Y. Romano, E. Patterson, and E. J. Candes, "Conformalized quantile regression,"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pp.3543-3553,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[14] T. Fischer and C. Krauss, "Deep learning with long short-term memory networks for financial market predictions," </w:t>
      </w:r>
      <w:r>
        <w:rPr>
          <w:rFonts w:ascii="Times New Roman" w:hAnsi="Times New Roman" w:eastAsia="신명조"/>
          <w:b w:val="0"/>
          <w:i/>
          <w:sz w:val="17"/>
        </w:rPr>
        <w:t>European Journal of Operational Research</w:t>
      </w:r>
      <w:r>
        <w:rPr>
          <w:rFonts w:ascii="Times New Roman" w:hAnsi="Times New Roman" w:eastAsia="신명조"/>
          <w:b w:val="0"/>
          <w:i w:val="0"/>
          <w:sz w:val="17"/>
        </w:rPr>
        <w:t>,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[15] S. Gu, B. Kelly, and D. Xiu, "Empirical asset pricing via machine learning," </w:t>
      </w:r>
      <w:r>
        <w:rPr>
          <w:rFonts w:ascii="Times New Roman" w:hAnsi="Times New Roman" w:eastAsia="신명조"/>
          <w:b w:val="0"/>
          <w:i/>
          <w:sz w:val="17"/>
        </w:rPr>
        <w:t>The Review of Financial Studies</w:t>
      </w:r>
      <w:r>
        <w:rPr>
          <w:rFonts w:ascii="Times New Roman" w:hAnsi="Times New Roman" w:eastAsia="신명조"/>
          <w:b w:val="0"/>
          <w:i w:val="0"/>
          <w:sz w:val="17"/>
        </w:rPr>
        <w:t>,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[16] H. J. Kim and Y. S. Jung, "A stock price prediction based on recurrent convolution neural network with weighted loss function," </w:t>
      </w:r>
      <w:r>
        <w:rPr>
          <w:rFonts w:ascii="Times New Roman" w:hAnsi="Times New Roman" w:eastAsia="신명조"/>
          <w:b w:val="0"/>
          <w:i/>
          <w:sz w:val="17"/>
        </w:rPr>
        <w:t>KIPS Transactions on Software and Data Engineering</w:t>
      </w:r>
      <w:r>
        <w:rPr>
          <w:rFonts w:ascii="Times New Roman" w:hAnsi="Times New Roman" w:eastAsia="신명조"/>
          <w:b w:val="0"/>
          <w:i w:val="0"/>
          <w:sz w:val="17"/>
        </w:rPr>
        <w:t>,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[17] Y. Wang et al., "TimeXer: Empowering transformers for time series forecasting with exogenous variables,"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2024.</w:t>
      </w:r>
    </w:p>
    <w:p>
      <w:pPr>
        <w:wordWrap w:val="0"/>
        <w:autoSpaceDE w:val="0"/>
        <w:autoSpaceDN w:val="0"/>
        <w:spacing w:after="40" w:before="0" w:line="300" w:lineRule="auto"/>
        <w:ind w:hanging="280" w:left="280"/>
      </w:pPr>
      <w:r>
        <w:rPr>
          <w:rFonts w:ascii="Times New Roman" w:hAnsi="Times New Roman" w:eastAsia="신명조"/>
          <w:b w:val="0"/>
          <w:i w:val="0"/>
          <w:sz w:val="17"/>
        </w:rPr>
        <w:t xml:space="preserve">[18] G. Ke et al., "LightGBM: A highly efficient gradient boosting decision tree," in </w:t>
      </w:r>
      <w:r>
        <w:rPr>
          <w:rFonts w:ascii="Times New Roman" w:hAnsi="Times New Roman" w:eastAsia="신명조"/>
          <w:b w:val="0"/>
          <w:i/>
          <w:sz w:val="17"/>
        </w:rPr>
        <w:t>Advances in Neural Information Processing Systems</w:t>
      </w:r>
      <w:r>
        <w:rPr>
          <w:rFonts w:ascii="Times New Roman" w:hAnsi="Times New Roman" w:eastAsia="신명조"/>
          <w:b w:val="0"/>
          <w:i w:val="0"/>
          <w:sz w:val="17"/>
        </w:rPr>
        <w:t>, pp.3146-3154, 2017.</w:t>
      </w: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