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보류은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패치 기반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의 입력을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S</w:t>
      </w:r>
      <w:r>
        <w:rPr>
          <w:rFonts w:ascii="Times New Roman" w:hAnsi="Times New Roman" w:eastAsia="AppleMyungjo"/>
          <w:b w:val="0"/>
          <w:i w:val="0"/>
          <w:spacing w:val="-5"/>
          <w:w w:val="10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autoSpaceDE w:val="0"/>
        <w:autoSpaceDN w:val="0"/>
        <w:spacing w:after="20" w:before="0" w:line="280" w:lineRule="exact"/>
      </w:pPr>
      <w:r>
        <w:rPr>
          <w:rFonts w:ascii="Times New Roman" w:hAnsi="Times New Roman" w:eastAsia="Apple SD Gothic Neo"/>
          <w:b/>
          <w:i w:val="0"/>
          <w:spacing w:val="-9"/>
          <w:w w:val="95"/>
          <w:sz w:val="18"/>
        </w:rPr>
        <w:t>2.2 분위 예측과 변수선택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autoSpaceDE w:val="0"/>
        <w:autoSpaceDN w:val="0"/>
        <w:spacing w:after="20" w:before="0" w:line="280" w:lineRule="exact"/>
      </w:pPr>
      <w:r>
        <w:rPr>
          <w:rFonts w:ascii="Times New Roman" w:hAnsi="Times New Roman" w:eastAsia="Apple SD Gothic Neo"/>
          <w:b/>
          <w:i w:val="0"/>
          <w:spacing w:val="-9"/>
          <w:w w:val="95"/>
          <w:sz w:val="18"/>
        </w:rPr>
        <w:t>2.3 분포 이동 정규화와 분위 회귀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분위회귀[12]를 신경망 출력에 적용한 것이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분위 예측은 불확실성을 예측 결과 자체로 산출하므로, 앙상블 분산 없이 보류 규칙을 정의할 수 있다. 분위 예측의 구간이 명목 수준을 지키는지는 별도 문제이며 등각예측을 분위회귀에 결합한 교정 방법이 제안되어 있다[13]. 본 연구의 교정 상태는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2.4 선택적 예측과 보류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보류은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보류율이 학습으로 최적화되지 않고 임계값으로 정해지므로, 임계값 선택이 결과에 미치는 영향을 5.3절에서 따로 확인한다.</w:t>
      </w:r>
    </w:p>
    <w:p>
      <w:pPr>
        <w:keepNext/>
        <w:autoSpaceDE w:val="0"/>
        <w:autoSpaceDN w:val="0"/>
        <w:spacing w:after="20" w:before="0" w:line="280" w:lineRule="exact"/>
      </w:pPr>
      <w:r>
        <w:rPr>
          <w:rFonts w:ascii="Times New Roman" w:hAnsi="Times New Roman" w:eastAsia="Apple SD Gothic Neo"/>
          <w:b/>
          <w:i w:val="0"/>
          <w:spacing w:val="-9"/>
          <w:w w:val="95"/>
          <w:sz w:val="18"/>
        </w:rPr>
        <w:t>2.5 기준 모형과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연구 방법</w:t>
      </w:r>
    </w:p>
    <w:p>
      <w:pPr>
        <w:keepNext/>
        <w:autoSpaceDE w:val="0"/>
        <w:autoSpaceDN w:val="0"/>
        <w:spacing w:after="20" w:before="0" w:line="280" w:lineRule="exact"/>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autoSpaceDE w:val="0"/>
        <w:autoSpaceDN w:val="0"/>
        <w:spacing w:after="20" w:before="0" w:line="280" w:lineRule="exact"/>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보류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2.3절에서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자료와 실험 설계</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280" w:lineRule="exact"/>
      </w:pPr>
      <w:r>
        <w:rPr>
          <w:rFonts w:ascii="Times New Roman" w:hAnsi="Times New Roman" w:eastAsia="Apple SD Gothic Neo"/>
          <w:b/>
          <w:i w:val="0"/>
          <w:spacing w:val="-9"/>
          <w:w w:val="95"/>
          <w:sz w:val="18"/>
        </w:rPr>
        <w:t>4.4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보류한다.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보류 판단에 흘러들어 미래 정보가 유입되기 때문이고, 모의투자에서 실제로 쓰는 방식과도 같다.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보류 규칙을 적용하고 시험구간 전체에서 집계하였다. 점 예측 모형은 임계할 폭이 없어 보류이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 헤드를 부착하면 보류이 작동하기 시작하고, 변수선택·정적 문맥·매크로 입력이 더해지면 최상위 변동성 분위의 보류율이 20.07%인 반면 최하위 분위는 0.21%에 머물러 보류이 고변동 구간에 집중된다. 이 집중은 세 구성요소 가운데 하나를 빼도 유지된다(5.4절). 예측 폭과 실현 변동의 상관 자체는 TFT 원본이 더 높았다(0.186 대 0.170). 보류이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 헤드)도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보류이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