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396" w:before="0" w:line="300" w:lineRule="auto"/>
        <w:jc w:val="center"/>
      </w:pPr>
      <w:r>
        <w:rPr>
          <w:rFonts w:ascii="Times New Roman" w:hAnsi="Times New Roman" w:eastAsia="견명조"/>
          <w:b w:val="0"/>
          <w:i w:val="0"/>
          <w:spacing w:val="-14"/>
          <w:w w:val="95"/>
          <w:sz w:val="28"/>
        </w:rPr>
        <w:t>A Lightweight Quantile Forecasting Model for Stock Returns with Abstention</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ABSTRACT</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Keywords : Stock Return Forecasting, Patch-Based Transformer, Quantile Regression, Forecast Uncertainty, Abstention</w:t>
      </w:r>
    </w:p>
    <w:p>
      <w:pPr>
        <w:wordWrap w:val="0"/>
        <w:autoSpaceDE w:val="0"/>
        <w:autoSpaceDN w:val="0"/>
        <w:spacing w:after="340" w:before="200" w:line="300" w:lineRule="auto"/>
        <w:jc w:val="center"/>
      </w:pPr>
      <w:r>
        <w:rPr>
          <w:rFonts w:ascii="Times New Roman" w:hAnsi="Times New Roman" w:eastAsia="태명조"/>
          <w:b w:val="0"/>
          <w:i w:val="0"/>
          <w:spacing w:val="-19"/>
          <w:w w:val="95"/>
          <w:sz w:val="38"/>
        </w:rPr>
        <w:t>판단 보류가 가능한 경량 주가 수익률 분위 예측 모형</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요     약</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키워드 : 주가 수익률 예측, 패치 기반 트랜스포머, 분위회귀, 예측 불확실성, 기권</w:t>
      </w:r>
    </w:p>
    <w:p>
      <w:pPr>
        <w:sectPr>
          <w:pgSz w:w="11906" w:h="16838"/>
          <w:pgMar w:top="2013" w:right="1134" w:bottom="1446" w:left="1134" w:header="1446" w:footer="879"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pacing w:val="0"/>
          <w:w w:val="95"/>
          <w:sz w:val="20"/>
        </w:rPr>
        <w:t>1. 서  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pacing w:val="0"/>
          <w:w w:val="95"/>
          <w:sz w:val="20"/>
        </w:rPr>
        <w:t>2. 관련 연구</w:t>
      </w:r>
    </w:p>
    <w:p>
      <w:pPr>
        <w:keepNext/>
        <w:wordWrap w:val="0"/>
        <w:autoSpaceDE w:val="0"/>
        <w:autoSpaceDN w:val="0"/>
        <w:spacing w:after="60" w:before="0" w:line="300" w:lineRule="auto"/>
      </w:pPr>
      <w:r>
        <w:rPr>
          <w:rFonts w:ascii="Times New Roman" w:hAnsi="Times New Roman" w:eastAsia="중고딕"/>
          <w:b w:val="0"/>
          <w:i w:val="0"/>
          <w:spacing w:val="-9"/>
          <w:w w:val="95"/>
          <w:sz w:val="18"/>
        </w:rPr>
        <w:t>2.1 패치 기반 시계열 트랜스포머</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의 입력을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S</w:t>
      </w:r>
      <w:r>
        <w:rPr>
          <w:rFonts w:ascii="Times New Roman" w:hAnsi="Times New Roman" w:eastAsia="신명조"/>
          <w:b w:val="0"/>
          <w:i w:val="0"/>
          <w:spacing w:val="-5"/>
          <w:w w:val="95"/>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2.2 분위 예측과 변수선택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2.3 분포 이동 정규화와 분위 회귀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분위회귀[12]를 신경망 출력에 적용한 것이 핀볼 손실이며, 분위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에 대하여 식 (1)과 같이 정의된다.</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L(</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xml:space="preserve">) = max[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− 1)(</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    (1)</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본 연구는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2.4 선택적 예측과 기권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2.5 기준 모형과 본 연구의 위치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pacing w:val="0"/>
          <w:w w:val="95"/>
          <w:sz w:val="20"/>
        </w:rPr>
        <w:t>3. 연구 방법</w:t>
      </w:r>
    </w:p>
    <w:p>
      <w:pPr>
        <w:keepNext/>
        <w:wordWrap w:val="0"/>
        <w:autoSpaceDE w:val="0"/>
        <w:autoSpaceDN w:val="0"/>
        <w:spacing w:after="60" w:before="0" w:line="300" w:lineRule="auto"/>
      </w:pPr>
      <w:r>
        <w:rPr>
          <w:rFonts w:ascii="Times New Roman" w:hAnsi="Times New Roman" w:eastAsia="중고딕"/>
          <w:b w:val="0"/>
          <w:i w:val="0"/>
          <w:spacing w:val="-9"/>
          <w:w w:val="95"/>
          <w:sz w:val="18"/>
        </w:rPr>
        <w:t>3.1 요구사항으로부터의 구조 도출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구성요소는 모두 &lt;Table 1&gt;의 좌측 요구사항으로부터 역산되었다.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pacing w:val="-9"/>
          <w:w w:val="95"/>
          <w:sz w:val="18"/>
        </w:rPr>
        <w:t>3.2 제안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20" w:lineRule="exact"/>
        <w:jc w:val="left"/>
      </w:pPr>
      <w:r>
        <w:rPr>
          <w:rFonts w:ascii="Times New Roman" w:hAnsi="Times New Roman" w:eastAsia="중고딕"/>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pacing w:val="-9"/>
          <w:w w:val="95"/>
          <w:sz w:val="18"/>
        </w:rPr>
        <w:t>3.3 결합 과정의 설계 결정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280" w:lineRule="exact"/>
      </w:pPr>
      <w:r>
        <w:rPr>
          <w:rFonts w:ascii="Times New Roman" w:hAnsi="Times New Roman" w:eastAsia="신명조"/>
          <w:b w:val="0"/>
          <w:i w:val="0"/>
          <w:spacing w:val="-5"/>
          <w:w w:val="95"/>
          <w:sz w:val="18"/>
        </w:rPr>
        <w:t>1) 변수선택망의 역할과 배치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280" w:lineRule="exact"/>
        <w:jc w:val="center"/>
      </w:pP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softmax( GRN( [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 xml:space="preserve"> ] ) ) ∈ ℝ</w:t>
      </w:r>
      <w:r>
        <w:rPr>
          <w:rFonts w:ascii="Times New Roman" w:hAnsi="Times New Roman" w:eastAsia="신명조"/>
          <w:b w:val="0"/>
          <w:i/>
          <w:spacing w:val="-5"/>
          <w:w w:val="95"/>
          <w:sz w:val="18"/>
          <w:vertAlign w:val="superscript"/>
        </w:rPr>
        <w:t>C</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 1, …,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(2)</w:t>
      </w:r>
    </w:p>
    <w:p>
      <w:pPr>
        <w:wordWrap w:val="0"/>
        <w:autoSpaceDE w:val="0"/>
        <w:autoSpaceDN w:val="0"/>
        <w:spacing w:after="80" w:before="0" w:line="280" w:lineRule="exact"/>
        <w:jc w:val="center"/>
      </w:pPr>
      <w:r>
        <w:rPr>
          <w:rFonts w:ascii="Times New Roman" w:hAnsi="Times New Roman" w:eastAsia="신명조"/>
          <w:b w:val="0"/>
          <w:i/>
          <w:spacing w:val="-5"/>
          <w:w w:val="95"/>
          <w:sz w:val="18"/>
        </w:rPr>
        <w:t>Z</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 · GRN</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(3)</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C</w:t>
      </w:r>
      <w:r>
        <w:rPr>
          <w:rFonts w:ascii="Times New Roman" w:hAnsi="Times New Roman" w:eastAsia="신명조"/>
          <w:b w:val="0"/>
          <w:i w:val="0"/>
          <w:spacing w:val="-5"/>
          <w:w w:val="95"/>
          <w:sz w:val="18"/>
        </w:rPr>
        <w:t xml:space="preserve">는 채널 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은 패치 수, </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는 패치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·채널 </w:t>
      </w:r>
      <w:r>
        <w:rPr>
          <w:rFonts w:ascii="Times New Roman" w:hAnsi="Times New Roman" w:eastAsia="신명조"/>
          <w:b w:val="0"/>
          <w:i/>
          <w:spacing w:val="-5"/>
          <w:w w:val="95"/>
          <w:sz w:val="18"/>
        </w:rPr>
        <w:t>i</w:t>
      </w:r>
      <w:r>
        <w:rPr>
          <w:rFonts w:ascii="Times New Roman" w:hAnsi="Times New Roman" w:eastAsia="신명조"/>
          <w:b w:val="0"/>
          <w:i w:val="0"/>
          <w:spacing w:val="-5"/>
          <w:w w:val="95"/>
          <w:sz w:val="18"/>
        </w:rPr>
        <w:t>의 임베딩이고,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)은 그 패치의 모든 채널 임베딩을 이어 붙인 벡터,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는 정적 임베딩에서 얻은 문맥 벡터, GRN은 TFT의 게이트 잔차 신경망이다.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pacing w:val="-5"/>
          <w:w w:val="95"/>
          <w:sz w:val="18"/>
        </w:rPr>
        <w:t>v</w:t>
      </w:r>
      <w:r>
        <w:rPr>
          <w:rFonts w:ascii="Times New Roman" w:hAnsi="Times New Roman" w:eastAsia="신명조"/>
          <w:b w:val="0"/>
          <w:i w:val="0"/>
          <w:spacing w:val="-5"/>
          <w:w w:val="95"/>
          <w:sz w:val="18"/>
        </w:rPr>
        <w:t xml:space="preserve"> ∈ ℝ</w:t>
      </w:r>
      <w:r>
        <w:rPr>
          <w:rFonts w:ascii="Times New Roman" w:hAnsi="Times New Roman" w:eastAsia="신명조"/>
          <w:b w:val="0"/>
          <w:i/>
          <w:spacing w:val="-5"/>
          <w:w w:val="95"/>
          <w:sz w:val="18"/>
          <w:vertAlign w:val="superscript"/>
        </w:rPr>
        <w:t>N×C</w:t>
      </w:r>
      <w:r>
        <w:rPr>
          <w:rFonts w:ascii="Times New Roman" w:hAnsi="Times New Roman" w:eastAsia="신명조"/>
          <w:b w:val="0"/>
          <w:i w:val="0"/>
          <w:spacing w:val="-5"/>
          <w:w w:val="95"/>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2) 매크로 크로스어텐션의 방향</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CrossAttn(</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 softmax[ (</w:t>
      </w:r>
      <w:r>
        <w:rPr>
          <w:rFonts w:ascii="Times New Roman" w:hAnsi="Times New Roman" w:eastAsia="신명조"/>
          <w:b w:val="0"/>
          <w:i/>
          <w:spacing w:val="-5"/>
          <w:w w:val="95"/>
          <w:sz w:val="18"/>
        </w:rPr>
        <w:t>Z 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vertAlign w:val="superscript"/>
        </w:rPr>
        <w:t>T</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(4)</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는 종목 표현,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은 매크로 부호화,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xml:space="preserve">는 투영 행렬,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3) 분위 단조성의 구조적 보장과 헤드 초기화</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교차를 손실 벌점이 아니라 누적 소프트플러스 구조로 원천 차단하였다(식 5).</w:t>
      </w:r>
    </w:p>
    <w:p>
      <w:pPr>
        <w:wordWrap w:val="0"/>
        <w:autoSpaceDE w:val="0"/>
        <w:autoSpaceDN w:val="0"/>
        <w:spacing w:after="80" w:before="0" w:line="280" w:lineRule="exact"/>
        <w:jc w:val="center"/>
      </w:pP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90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    (5)</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와 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pacing w:val="-9"/>
          <w:w w:val="95"/>
          <w:sz w:val="18"/>
        </w:rPr>
        <w:t>3.4 최종 설정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2&gt;는 이후 모든 실험에 사용한 설정이다. 정규화는 2.3절에서 기술한 방식을 따른다.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pacing w:val="0"/>
          <w:w w:val="95"/>
          <w:sz w:val="20"/>
        </w:rPr>
        <w:t>4. 자료와 실험 설계</w:t>
      </w:r>
    </w:p>
    <w:p>
      <w:pPr>
        <w:keepNext/>
        <w:wordWrap w:val="0"/>
        <w:autoSpaceDE w:val="0"/>
        <w:autoSpaceDN w:val="0"/>
        <w:spacing w:after="60" w:before="0" w:line="300" w:lineRule="auto"/>
      </w:pPr>
      <w:r>
        <w:rPr>
          <w:rFonts w:ascii="Times New Roman" w:hAnsi="Times New Roman" w:eastAsia="중고딕"/>
          <w:b w:val="0"/>
          <w:i w:val="0"/>
          <w:spacing w:val="-9"/>
          <w:w w:val="95"/>
          <w:sz w:val="18"/>
        </w:rPr>
        <w:t>4.1 자료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4.2 변수와 목표변수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3</w:t>
            </w:r>
          </w:p>
        </w:tc>
      </w:tr>
    </w:tbl>
    <w:p>
      <w:pPr>
        <w:spacing w:after="80"/>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280" w:lineRule="exact"/>
        <w:jc w:val="center"/>
      </w:pPr>
      <w:r>
        <w:rPr>
          <w:rFonts w:ascii="Times New Roman" w:hAnsi="Times New Roman" w:eastAsia="신명조"/>
          <w:b w:val="0"/>
          <w:i/>
          <w:spacing w:val="-5"/>
          <w:w w:val="95"/>
          <w:sz w:val="18"/>
        </w:rPr>
        <w:t>y</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(6)</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는 일별 로그수익률이고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4.3 분할과 기준선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인접 표본은 120일 중 119일의 입력과 5일 중 4일의 목표를 공유하므로 명목 학습 행 264,653건의 실질 규모는 훨씬 작다. 이 때문에 모수를 늘리면 1~2회차에 과적합되어 0.50M으로 고정하였다.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4.4 기권 규칙</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pacing w:val="0"/>
          <w:w w:val="95"/>
          <w:sz w:val="20"/>
        </w:rPr>
        <w:t>5. 실험 결과</w:t>
      </w:r>
    </w:p>
    <w:p>
      <w:pPr>
        <w:keepNext/>
        <w:wordWrap w:val="0"/>
        <w:autoSpaceDE w:val="0"/>
        <w:autoSpaceDN w:val="0"/>
        <w:spacing w:after="60" w:before="0" w:line="300" w:lineRule="auto"/>
      </w:pPr>
      <w:r>
        <w:rPr>
          <w:rFonts w:ascii="Times New Roman" w:hAnsi="Times New Roman" w:eastAsia="중고딕"/>
          <w:b w:val="0"/>
          <w:i w:val="0"/>
          <w:spacing w:val="-9"/>
          <w:w w:val="95"/>
          <w:sz w:val="18"/>
        </w:rPr>
        <w:t>5.1 동일조건 정확도 비교</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4.47(</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0.004), 시험구간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10.33(</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0.022, 0.001, 0.009, 0.003, &lt; 0.001) 122거래일의 검증구간에서는 다섯 시드 모두 유의하지 않다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20" w:lineRule="exact"/>
      </w:pPr>
      <w:r>
        <w:rPr>
          <w:rFonts w:ascii="Times New Roman" w:hAnsi="Times New Roman" w:eastAsia="중고딕"/>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pacing w:val="-9"/>
          <w:w w:val="95"/>
          <w:sz w:val="18"/>
        </w:rPr>
        <w:t>5.3 기권 행태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5.4 구성요소 제거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세 변형 모두 세 지표에서 제안 모형과 구별되지 않았다. 시험구간 손실의 Welch 검정은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pacing w:val="0"/>
          <w:w w:val="95"/>
          <w:sz w:val="20"/>
        </w:rPr>
        <w:t>6. 결론 및 향후 연구</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pacing w:val="0"/>
          <w:w w:val="95"/>
          <w:sz w:val="20"/>
        </w:rPr>
        <w:t>References</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신명조"/>
          <w:b w:val="0"/>
          <w:i/>
          <w:spacing w:val="-5"/>
          <w:w w:val="95"/>
          <w:sz w:val="17"/>
        </w:rPr>
        <w:t>Applied Soft Computing</w:t>
      </w:r>
      <w:r>
        <w:rPr>
          <w:rFonts w:ascii="Times New Roman" w:hAnsi="Times New Roman" w:eastAsia="신명조"/>
          <w:b w:val="0"/>
          <w:i w:val="0"/>
          <w:spacing w:val="-5"/>
          <w:w w:val="95"/>
          <w:sz w:val="17"/>
        </w:rPr>
        <w:t>, Vol.90, 106181,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 T. S. Kim and S. Lee, "Deep learning-based stock fluctuation prediction according to overseas indices and trading trends,"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No.9, pp.367-374,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[3] A. Vaswani et al., "Attention is all you need,"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pp.5998-6008,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[4] H. Zhou et al., "Informer: Beyond efficient transformer for long sequence time-series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pp.11106-11115,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[5] H. Wu, J. Xu, J. Wang, and M. Long, "Autoformer: Decomposition transformers with auto-correlation for long-term series forecasting,"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pp.22419-22430,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[6] A. Zeng, M. Chen, L. Zhang, and Q. Xu, "Are transformers effective for time 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pp.11121-11128,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[7] Y. Nie, N. H. Nguyen, P. Sinthong, and J. Kalagnanam, "A time series is worth 64 words: Long-term forecasting with transformers,"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[8] B. Lim, S. O. Arik, N. Loeff, and T. Pfister, "Temporal fusion transformers for interpretable multi-horizon time series forecasting,"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Vol.37, No.4, pp.1748-1764,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[9] I. K. Kim, D. H. Kim, and J. Lee, "Temporal fusion transformers and deep learning methods for multi-horizon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Vol.11, No.2, pp.81-86,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[10] D.-K. Kim and K. Kim, "Style-based transformer for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No.12, pp.579-586,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[12] R. Koenker and G. Bassett, "Regression quantiles,"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Vol.46, No.1, pp.33-50, 1978.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[13] Y. Romano, E. Patterson, and E. J. Candes, "Conformalized quantile regression,"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pp.3543-3553,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[14] C. K. Chow, "On optimum recognition error and reject tradeoff," </w:t>
      </w:r>
      <w:r>
        <w:rPr>
          <w:rFonts w:ascii="Times New Roman" w:hAnsi="Times New Roman" w:eastAsia="신명조"/>
          <w:b w:val="0"/>
          <w:i/>
          <w:spacing w:val="-5"/>
          <w:w w:val="95"/>
          <w:sz w:val="17"/>
        </w:rPr>
        <w:t>IEEE Transactions on Information Theory</w:t>
      </w:r>
      <w:r>
        <w:rPr>
          <w:rFonts w:ascii="Times New Roman" w:hAnsi="Times New Roman" w:eastAsia="신명조"/>
          <w:b w:val="0"/>
          <w:i w:val="0"/>
          <w:spacing w:val="-5"/>
          <w:w w:val="95"/>
          <w:sz w:val="17"/>
        </w:rPr>
        <w:t>, Vol.16, No.1, pp.41-46, 1970.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[15] R. El-Yaniv and Y. Wiener, "On the foundations of noise-free selective classification,"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Vol.11, pp.1605-1641, 2010.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[16] Y. Geifman and R. El-Yaniv, "Selective classification for deep neural networks,"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pp.4878-4887,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[17] T. Fischer and C. Krauss, "Deep learning with long short-term memory networks for financial market predictions," </w:t>
      </w:r>
      <w:r>
        <w:rPr>
          <w:rFonts w:ascii="Times New Roman" w:hAnsi="Times New Roman" w:eastAsia="신명조"/>
          <w:b w:val="0"/>
          <w:i/>
          <w:spacing w:val="-5"/>
          <w:w w:val="95"/>
          <w:sz w:val="17"/>
        </w:rPr>
        <w:t>European Journal of Operational Research</w:t>
      </w:r>
      <w:r>
        <w:rPr>
          <w:rFonts w:ascii="Times New Roman" w:hAnsi="Times New Roman" w:eastAsia="신명조"/>
          <w:b w:val="0"/>
          <w:i w:val="0"/>
          <w:spacing w:val="-5"/>
          <w:w w:val="95"/>
          <w:sz w:val="17"/>
        </w:rPr>
        <w:t>, Vol.270, No.2, pp.654-669,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[18] S. Gu, B. Kelly, and D. Xiu, "Empirical asset pricing via machine learning," </w:t>
      </w:r>
      <w:r>
        <w:rPr>
          <w:rFonts w:ascii="Times New Roman" w:hAnsi="Times New Roman" w:eastAsia="신명조"/>
          <w:b w:val="0"/>
          <w:i/>
          <w:spacing w:val="-5"/>
          <w:w w:val="95"/>
          <w:sz w:val="17"/>
        </w:rPr>
        <w:t>The Review of Financial Studies</w:t>
      </w:r>
      <w:r>
        <w:rPr>
          <w:rFonts w:ascii="Times New Roman" w:hAnsi="Times New Roman" w:eastAsia="신명조"/>
          <w:b w:val="0"/>
          <w:i w:val="0"/>
          <w:spacing w:val="-5"/>
          <w:w w:val="95"/>
          <w:sz w:val="17"/>
        </w:rPr>
        <w:t>, Vol.33, No.5, pp.2223-2273,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[19] H. J. Kim and Y. S. Jung, "A stock price prediction based on recurrent convolution neural network with weighted loss function,"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Vol.8, No.3, pp.123-128,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신명조"/>
          <w:b w:val="0"/>
          <w:i/>
          <w:spacing w:val="-5"/>
          <w:w w:val="95"/>
          <w:sz w:val="17"/>
        </w:rPr>
        <w:t>PLOS ONE</w:t>
      </w:r>
      <w:r>
        <w:rPr>
          <w:rFonts w:ascii="Times New Roman" w:hAnsi="Times New Roman" w:eastAsia="신명조"/>
          <w:b w:val="0"/>
          <w:i w:val="0"/>
          <w:spacing w:val="-5"/>
          <w:w w:val="95"/>
          <w:sz w:val="17"/>
        </w:rPr>
        <w:t>, Vol.13, No.3, e0194889,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[21] Y. Wang et al., "TimeXer: Empowering transformers for time series forecasting with exogenous variables,"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2024.</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[22] F. X. Diebold and R. S. Mariano, "Comparing predictive accuracy," </w:t>
      </w:r>
      <w:r>
        <w:rPr>
          <w:rFonts w:ascii="Times New Roman" w:hAnsi="Times New Roman" w:eastAsia="신명조"/>
          <w:b w:val="0"/>
          <w:i/>
          <w:spacing w:val="-5"/>
          <w:w w:val="95"/>
          <w:sz w:val="17"/>
        </w:rPr>
        <w:t>Journal of Business &amp; Economic Statistics</w:t>
      </w:r>
      <w:r>
        <w:rPr>
          <w:rFonts w:ascii="Times New Roman" w:hAnsi="Times New Roman" w:eastAsia="신명조"/>
          <w:b w:val="0"/>
          <w:i w:val="0"/>
          <w:spacing w:val="-5"/>
          <w:w w:val="95"/>
          <w:sz w:val="17"/>
        </w:rPr>
        <w:t>, Vol.13, No.3, pp.253-263, 1995.</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[23] W. K. Newey and K. D. West, "A simple, positive semi-definite, heteroskedasticity and autocorrelation consistent covariance matrix,"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Vol.55, No.3, pp.703-708, 1987.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[24] D. Harvey, S. Leybourne, and P. Newbold, "Testing the equality of prediction mean squared errors,"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Vol.13, No.2, pp.281-291, 1997.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[25] G. Ke et al., "LightGBM: A highly efficient gradient boosting decision tree,"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pp.3146-3154,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[26] F. Pedregosa et al., "Scikit-learn: Machine learning in Python,"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