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300" w:lineRule="auto"/>
        <w:jc w:val="center"/>
      </w:pPr>
      <w:r>
        <w:rPr>
          <w:rFonts w:ascii="Times New Roman" w:hAnsi="Times New Roman" w:eastAsia="견명조"/>
          <w:b w:val="0"/>
          <w:i w:val="0"/>
          <w:sz w:val="28"/>
        </w:rPr>
        <w:t>A Lightweight Quantile Forecasting Model for Stock Returns with Abstention</w:t>
      </w:r>
    </w:p>
    <w:p>
      <w:pPr>
        <w:wordWrap w:val="0"/>
        <w:autoSpaceDE w:val="0"/>
        <w:autoSpaceDN w:val="0"/>
        <w:spacing w:after="160" w:before="0" w:line="300" w:lineRule="auto"/>
        <w:jc w:val="center"/>
      </w:pPr>
      <w:r>
        <w:rPr>
          <w:rFonts w:ascii="Times New Roman" w:hAnsi="Times New Roman" w:eastAsia="중고딕"/>
          <w:b w:val="0"/>
          <w:i w:val="0"/>
          <w:sz w:val="20"/>
        </w:rPr>
        <w:t>Seongjun Park†⋅Jimin Kim†⋅Ohjae Kwon†⋅Haeol Song†⋅Jeongil Seo††⋅Juhan Yoo†††</w:t>
      </w:r>
    </w:p>
    <w:p>
      <w:pPr>
        <w:wordWrap w:val="0"/>
        <w:autoSpaceDE w:val="0"/>
        <w:autoSpaceDN w:val="0"/>
        <w:spacing w:after="80" w:before="0" w:line="300" w:lineRule="auto"/>
        <w:jc w:val="center"/>
      </w:pPr>
      <w:r>
        <w:rPr>
          <w:rFonts w:ascii="Times New Roman" w:hAnsi="Times New Roman" w:eastAsia="태고딕"/>
          <w:b w:val="0"/>
          <w:i w:val="0"/>
          <w:sz w:val="21"/>
        </w:rPr>
        <w:t>ABSTRACT</w:t>
      </w:r>
    </w:p>
    <w:p>
      <w:pPr>
        <w:wordWrap w:val="0"/>
        <w:autoSpaceDE w:val="0"/>
        <w:autoSpaceDN w:val="0"/>
        <w:spacing w:after="80" w:before="0" w:line="324" w:lineRule="auto"/>
        <w:jc w:val="both"/>
      </w:pPr>
      <w:r>
        <w:rPr>
          <w:rFonts w:ascii="Times New Roman" w:hAnsi="Times New Roman" w:eastAsia="신명조"/>
          <w:b w:val="0"/>
          <w:i w:val="0"/>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forecast error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Section 6 discusses the limitations of the evaluation design.</w:t>
      </w:r>
    </w:p>
    <w:p>
      <w:pPr>
        <w:wordWrap w:val="0"/>
        <w:autoSpaceDE w:val="0"/>
        <w:autoSpaceDN w:val="0"/>
        <w:spacing w:after="200" w:before="0" w:line="300" w:lineRule="auto"/>
      </w:pPr>
      <w:r>
        <w:rPr>
          <w:rFonts w:ascii="Times New Roman" w:hAnsi="Times New Roman" w:eastAsia="태고딕"/>
          <w:b w:val="0"/>
          <w:i w:val="0"/>
          <w:sz w:val="15"/>
        </w:rPr>
        <w:t>Keywords : Stock Return Forecasting, Patch-Based Transformer, Quantile Regression, Forecast Uncertainty, Abstention</w:t>
      </w:r>
    </w:p>
    <w:p>
      <w:pPr>
        <w:wordWrap w:val="0"/>
        <w:autoSpaceDE w:val="0"/>
        <w:autoSpaceDN w:val="0"/>
        <w:spacing w:after="120" w:before="0" w:line="300" w:lineRule="auto"/>
        <w:jc w:val="center"/>
      </w:pPr>
      <w:r>
        <w:rPr>
          <w:rFonts w:ascii="Times New Roman" w:hAnsi="Times New Roman" w:eastAsia="태명조"/>
          <w:b w:val="0"/>
          <w:i w:val="0"/>
          <w:sz w:val="38"/>
        </w:rPr>
        <w:t>판단 보류가 가능한 경량 주가 수익률 분위 예측 모형</w:t>
      </w:r>
    </w:p>
    <w:p>
      <w:pPr>
        <w:wordWrap w:val="0"/>
        <w:autoSpaceDE w:val="0"/>
        <w:autoSpaceDN w:val="0"/>
        <w:spacing w:after="160" w:before="0" w:line="300" w:lineRule="auto"/>
        <w:jc w:val="center"/>
      </w:pPr>
      <w:r>
        <w:rPr>
          <w:rFonts w:ascii="Times New Roman" w:hAnsi="Times New Roman" w:eastAsia="중고딕"/>
          <w:b w:val="0"/>
          <w:i w:val="0"/>
          <w:sz w:val="20"/>
        </w:rPr>
        <w:t>박 성 준†⋅김 지 민†⋅권 오 재†⋅송 하 얼†⋅서 정 일††⋅유 주 한†††</w:t>
      </w:r>
    </w:p>
    <w:p>
      <w:pPr>
        <w:wordWrap w:val="0"/>
        <w:autoSpaceDE w:val="0"/>
        <w:autoSpaceDN w:val="0"/>
        <w:spacing w:after="80" w:before="0" w:line="300" w:lineRule="auto"/>
        <w:jc w:val="center"/>
      </w:pPr>
      <w:r>
        <w:rPr>
          <w:rFonts w:ascii="Times New Roman" w:hAnsi="Times New Roman" w:eastAsia="태고딕"/>
          <w:b w:val="0"/>
          <w:i w:val="0"/>
          <w:sz w:val="21"/>
        </w:rPr>
        <w:t>요     약</w:t>
      </w:r>
    </w:p>
    <w:p>
      <w:pPr>
        <w:wordWrap w:val="0"/>
        <w:autoSpaceDE w:val="0"/>
        <w:autoSpaceDN w:val="0"/>
        <w:spacing w:after="80" w:before="0" w:line="324" w:lineRule="auto"/>
        <w:jc w:val="both"/>
      </w:pPr>
      <w:r>
        <w:rPr>
          <w:rFonts w:ascii="Times New Roman" w:hAnsi="Times New Roman" w:eastAsia="신명조"/>
          <w:b w:val="0"/>
          <w:i w:val="0"/>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 예측 헤드를 달고 입력 채널을 인코더 앞에서 하나로 합쳐 인코더를 한 번만 실행하는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예측 오차를 보이면서 학습은 3.8배, 추론은 4.8배 빨랐다. 판단 보류는 변동성이 큰 시기에 집중되었으며, 보류된 예측의 오차는 실행된 예측의 약 1.5배였다. 이는 최근 변동성만 보고 보류하는 단순 규칙보다 큰 오차를 더 잘 걸러낸 결과이다. 평가 설계상의 한계는 6장에서 논의한다.</w:t>
      </w:r>
    </w:p>
    <w:p>
      <w:pPr>
        <w:wordWrap w:val="0"/>
        <w:autoSpaceDE w:val="0"/>
        <w:autoSpaceDN w:val="0"/>
        <w:spacing w:after="200" w:before="0" w:line="300" w:lineRule="auto"/>
      </w:pPr>
      <w:r>
        <w:rPr>
          <w:rFonts w:ascii="Times New Roman" w:hAnsi="Times New Roman" w:eastAsia="태고딕"/>
          <w:b w:val="0"/>
          <w:i w:val="0"/>
          <w:sz w:val="15"/>
        </w:rPr>
        <w:t>키워드 : 주가 수익률 예측, 패치 기반 트랜스포머, 분위회귀, 예측 불확실성, 기권</w:t>
      </w:r>
    </w:p>
    <w:p>
      <w:pPr>
        <w:wordWrap w:val="0"/>
        <w:autoSpaceDE w:val="0"/>
        <w:autoSpaceDN w:val="0"/>
        <w:spacing w:after="20" w:before="0" w:line="276" w:lineRule="auto"/>
      </w:pPr>
      <w:r>
        <w:rPr>
          <w:rFonts w:ascii="Times New Roman" w:hAnsi="Times New Roman" w:eastAsia="신명조"/>
          <w:b w:val="0"/>
          <w:i w:val="0"/>
          <w:sz w:val="14"/>
        </w:rPr>
        <w:t>† 비 회 원 : 동아대학교 컴퓨터공학과 학부생</w:t>
      </w:r>
    </w:p>
    <w:p>
      <w:pPr>
        <w:wordWrap w:val="0"/>
        <w:autoSpaceDE w:val="0"/>
        <w:autoSpaceDN w:val="0"/>
        <w:spacing w:after="20" w:before="0" w:line="276" w:lineRule="auto"/>
      </w:pPr>
      <w:r>
        <w:rPr>
          <w:rFonts w:ascii="Times New Roman" w:hAnsi="Times New Roman" w:eastAsia="신명조"/>
          <w:b w:val="0"/>
          <w:i w:val="0"/>
          <w:sz w:val="14"/>
        </w:rPr>
        <w:t>†† 정 회 원 : 동아대학교 컴퓨터공학과 부교수</w:t>
      </w:r>
    </w:p>
    <w:p>
      <w:pPr>
        <w:wordWrap w:val="0"/>
        <w:autoSpaceDE w:val="0"/>
        <w:autoSpaceDN w:val="0"/>
        <w:spacing w:after="20" w:before="0" w:line="276" w:lineRule="auto"/>
      </w:pPr>
      <w:r>
        <w:rPr>
          <w:rFonts w:ascii="Times New Roman" w:hAnsi="Times New Roman" w:eastAsia="신명조"/>
          <w:b w:val="0"/>
          <w:i w:val="0"/>
          <w:sz w:val="14"/>
        </w:rPr>
        <w:t>††† 정 회 원 : 동아대학교 컴퓨터공학과 조교수</w:t>
      </w:r>
    </w:p>
    <w:p>
      <w:pPr>
        <w:wordWrap w:val="0"/>
        <w:autoSpaceDE w:val="0"/>
        <w:autoSpaceDN w:val="0"/>
        <w:spacing w:after="20" w:before="0" w:line="276" w:lineRule="auto"/>
      </w:pPr>
      <w:r>
        <w:rPr>
          <w:rFonts w:ascii="Times New Roman" w:hAnsi="Times New Roman" w:eastAsia="신명조"/>
          <w:b w:val="0"/>
          <w:i w:val="0"/>
          <w:sz w:val="14"/>
        </w:rPr>
        <w:t>Manuscript Received :</w:t>
      </w:r>
    </w:p>
    <w:p>
      <w:pPr>
        <w:wordWrap w:val="0"/>
        <w:autoSpaceDE w:val="0"/>
        <w:autoSpaceDN w:val="0"/>
        <w:spacing w:after="20" w:before="0" w:line="276" w:lineRule="auto"/>
      </w:pPr>
      <w:r>
        <w:rPr>
          <w:rFonts w:ascii="Times New Roman" w:hAnsi="Times New Roman" w:eastAsia="신명조"/>
          <w:b w:val="0"/>
          <w:i w:val="0"/>
          <w:sz w:val="14"/>
        </w:rPr>
        <w:t>First Revision :</w:t>
      </w:r>
    </w:p>
    <w:p>
      <w:pPr>
        <w:wordWrap w:val="0"/>
        <w:autoSpaceDE w:val="0"/>
        <w:autoSpaceDN w:val="0"/>
        <w:spacing w:after="20" w:before="0" w:line="276" w:lineRule="auto"/>
      </w:pPr>
      <w:r>
        <w:rPr>
          <w:rFonts w:ascii="Times New Roman" w:hAnsi="Times New Roman" w:eastAsia="신명조"/>
          <w:b w:val="0"/>
          <w:i w:val="0"/>
          <w:sz w:val="14"/>
        </w:rPr>
        <w:t>Accepted :</w:t>
      </w:r>
    </w:p>
    <w:p>
      <w:pPr>
        <w:wordWrap w:val="0"/>
        <w:autoSpaceDE w:val="0"/>
        <w:autoSpaceDN w:val="0"/>
        <w:spacing w:after="20" w:before="0" w:line="276" w:lineRule="auto"/>
      </w:pPr>
      <w:r>
        <w:rPr>
          <w:rFonts w:ascii="Times New Roman" w:hAnsi="Times New Roman" w:eastAsia="신명조"/>
          <w:b w:val="0"/>
          <w:i w:val="0"/>
          <w:sz w:val="14"/>
        </w:rPr>
        <w:t>* Corresponding Authors : Jeongil Seo(jeongilseo@dau.ac.kr), Juhan Yoo(unchinto@dau.ac.kr)</w:t>
      </w:r>
    </w:p>
    <w:p>
      <w:pPr>
        <w:sectPr>
          <w:pgSz w:w="11906" w:h="16838"/>
          <w:pgMar w:top="1446" w:right="1134" w:bottom="879" w:left="1134" w:header="567" w:footer="567" w:gutter="0"/>
          <w:docGrid w:linePitch="360"/>
          <w:cols w:num="1" w:space="453" w:equalWidth="1"/>
        </w:sectPr>
      </w:pPr>
    </w:p>
    <w:p>
      <w:pPr>
        <w:wordWrap w:val="0"/>
        <w:autoSpaceDE w:val="0"/>
        <w:autoSpaceDN w:val="0"/>
        <w:spacing w:after="80" w:before="0" w:line="300" w:lineRule="auto"/>
      </w:pPr>
      <w:r>
        <w:rPr>
          <w:rFonts w:ascii="Times New Roman" w:hAnsi="Times New Roman" w:eastAsia="견고딕"/>
          <w:b/>
          <w:i w:val="0"/>
          <w:sz w:val="20"/>
        </w:rPr>
        <w:t>1. 서  론</w:t>
      </w:r>
    </w:p>
    <w:p>
      <w:pPr>
        <w:wordWrap w:val="0"/>
        <w:autoSpaceDE w:val="0"/>
        <w:autoSpaceDN w:val="0"/>
        <w:spacing w:after="80" w:before="0" w:line="341" w:lineRule="auto"/>
        <w:ind w:firstLine="180"/>
        <w:jc w:val="both"/>
      </w:pPr>
      <w:r>
        <w:rPr>
          <w:rFonts w:ascii="Times New Roman" w:hAnsi="Times New Roman" w:eastAsia="신명조"/>
          <w:b w:val="0"/>
          <w:i w:val="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연구는 대부분 점 예측의 정확도 개선에 초점을 두며, 예측의 불확실성이나 운용 비용은 함께 다루지 않는다.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추론이 싸야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두 요구사항은 각각 다른 구성요소를 필요로 한다. 기권에는 분위 헤드와 핀볼 손실이, 비용에는 패치 토큰화와 채널 축을 인코더 앞에서 하나로 모으는 장치가 필요하다. 이 장치는 TFT의 변수선택망으로 구현하되 더 단순한 선형 합치기와 비교한다.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오차가 큰 예측을 걸러내는가.</w:t>
      </w:r>
    </w:p>
    <w:p>
      <w:pPr>
        <w:wordWrap w:val="0"/>
        <w:autoSpaceDE w:val="0"/>
        <w:autoSpaceDN w:val="0"/>
        <w:spacing w:after="80" w:before="0" w:line="341" w:lineRule="auto"/>
        <w:ind w:firstLine="180"/>
        <w:jc w:val="both"/>
      </w:pPr>
      <w:r>
        <w:rPr>
          <w:rFonts w:ascii="Times New Roman" w:hAnsi="Times New Roman" w:eastAsia="신명조"/>
          <w:b w:val="0"/>
          <w:i w:val="0"/>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wordWrap w:val="0"/>
        <w:autoSpaceDE w:val="0"/>
        <w:autoSpaceDN w:val="0"/>
        <w:spacing w:after="80" w:before="0" w:line="300" w:lineRule="auto"/>
      </w:pPr>
      <w:r>
        <w:rPr>
          <w:rFonts w:ascii="Times New Roman" w:hAnsi="Times New Roman" w:eastAsia="견고딕"/>
          <w:b/>
          <w:i w:val="0"/>
          <w:sz w:val="20"/>
        </w:rPr>
        <w:t>2. 관련 연구</w:t>
      </w:r>
    </w:p>
    <w:p>
      <w:pPr>
        <w:wordWrap w:val="0"/>
        <w:autoSpaceDE w:val="0"/>
        <w:autoSpaceDN w:val="0"/>
        <w:spacing w:after="60" w:before="0" w:line="300" w:lineRule="auto"/>
      </w:pPr>
      <w:r>
        <w:rPr>
          <w:rFonts w:ascii="Times New Roman" w:hAnsi="Times New Roman" w:eastAsia="중고딕"/>
          <w:b w:val="0"/>
          <w:i w:val="0"/>
          <w:sz w:val="18"/>
        </w:rPr>
        <w:t>2.1 패치 기반 시계열 트랜스포머</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18"/>
        </w:rPr>
        <w:t>L</w:t>
      </w:r>
      <w:r>
        <w:rPr>
          <w:rFonts w:ascii="Times New Roman" w:hAnsi="Times New Roman" w:eastAsia="신명조"/>
          <w:b w:val="0"/>
          <w:i w:val="0"/>
          <w:sz w:val="18"/>
        </w:rPr>
        <w:t>의 입력을 ⌈</w:t>
      </w:r>
      <w:r>
        <w:rPr>
          <w:rFonts w:ascii="Times New Roman" w:hAnsi="Times New Roman" w:eastAsia="신명조"/>
          <w:b w:val="0"/>
          <w:i/>
          <w:sz w:val="18"/>
        </w:rPr>
        <w:t>L</w:t>
      </w:r>
      <w:r>
        <w:rPr>
          <w:rFonts w:ascii="Times New Roman" w:hAnsi="Times New Roman" w:eastAsia="신명조"/>
          <w:b w:val="0"/>
          <w:i w:val="0"/>
          <w:sz w:val="18"/>
        </w:rPr>
        <w:t>/</w:t>
      </w:r>
      <w:r>
        <w:rPr>
          <w:rFonts w:ascii="Times New Roman" w:hAnsi="Times New Roman" w:eastAsia="신명조"/>
          <w:b w:val="0"/>
          <w:i/>
          <w:sz w:val="18"/>
        </w:rPr>
        <w:t>S</w:t>
      </w:r>
      <w:r>
        <w:rPr>
          <w:rFonts w:ascii="Times New Roman" w:hAnsi="Times New Roman" w:eastAsia="신명조"/>
          <w:b w:val="0"/>
          <w:i w:val="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wordWrap w:val="0"/>
        <w:autoSpaceDE w:val="0"/>
        <w:autoSpaceDN w:val="0"/>
        <w:spacing w:after="60" w:before="0" w:line="300" w:lineRule="auto"/>
      </w:pPr>
      <w:r>
        <w:rPr>
          <w:rFonts w:ascii="Times New Roman" w:hAnsi="Times New Roman" w:eastAsia="중고딕"/>
          <w:b w:val="0"/>
          <w:i w:val="0"/>
          <w:sz w:val="18"/>
        </w:rPr>
        <w:t>2.2 분위 예측과 변수선택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헤드를 채택하고 변수선택망은 채널 축약의 한 구현으로 비교하였으며, 시점 단위 연산 구조는 버렸다.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wordWrap w:val="0"/>
        <w:autoSpaceDE w:val="0"/>
        <w:autoSpaceDN w:val="0"/>
        <w:spacing w:after="60" w:before="0" w:line="300" w:lineRule="auto"/>
      </w:pPr>
      <w:r>
        <w:rPr>
          <w:rFonts w:ascii="Times New Roman" w:hAnsi="Times New Roman" w:eastAsia="중고딕"/>
          <w:b w:val="0"/>
          <w:i w:val="0"/>
          <w:sz w:val="18"/>
        </w:rPr>
        <w:t>2.3 분포 이동 정규화와 분위 회귀</w:t>
      </w:r>
    </w:p>
    <w:p>
      <w:pPr>
        <w:wordWrap w:val="0"/>
        <w:autoSpaceDE w:val="0"/>
        <w:autoSpaceDN w:val="0"/>
        <w:spacing w:after="80" w:before="0" w:line="341" w:lineRule="auto"/>
        <w:ind w:firstLine="180"/>
        <w:jc w:val="both"/>
      </w:pPr>
      <w:r>
        <w:rPr>
          <w:rFonts w:ascii="Times New Roman" w:hAnsi="Times New Roman" w:eastAsia="신명조"/>
          <w:b w:val="0"/>
          <w:i w:val="0"/>
          <w:sz w:val="18"/>
        </w:rPr>
        <w:t>RevIN(reversible instance normalization)[11]은 입력 윈도우별 인스턴스 정규화를 적용하고 출력에서 역변환한다. 종목과 시대에 따라 가격 수준의 의미가 달라지는 자료에서는 선택이 아닌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분위회귀[12]를 신경망 출력에 적용한 것이 핀볼 손실이며, 분위 </w:t>
      </w:r>
      <w:r>
        <w:rPr>
          <w:rFonts w:ascii="Times New Roman" w:hAnsi="Times New Roman" w:eastAsia="신명조"/>
          <w:b w:val="0"/>
          <w:i/>
          <w:sz w:val="18"/>
        </w:rPr>
        <w:t>τ</w:t>
      </w:r>
      <w:r>
        <w:rPr>
          <w:rFonts w:ascii="Times New Roman" w:hAnsi="Times New Roman" w:eastAsia="신명조"/>
          <w:b w:val="0"/>
          <w:i w:val="0"/>
          <w:sz w:val="18"/>
        </w:rPr>
        <w:t>에 대하여 식 (1)과 같이 정의된다.</w:t>
      </w:r>
    </w:p>
    <w:p>
      <w:pPr>
        <w:wordWrap w:val="0"/>
        <w:autoSpaceDE w:val="0"/>
        <w:autoSpaceDN w:val="0"/>
        <w:spacing w:after="80" w:before="0" w:line="341" w:lineRule="auto"/>
        <w:jc w:val="center"/>
      </w:pPr>
      <w:r>
        <w:rPr>
          <w:rFonts w:ascii="Times New Roman" w:hAnsi="Times New Roman" w:eastAsia="신명조"/>
          <w:b w:val="0"/>
          <w:i w:val="0"/>
          <w:sz w:val="18"/>
        </w:rPr>
        <w:t>L(</w:t>
      </w:r>
      <w:r>
        <w:rPr>
          <w:rFonts w:ascii="Times New Roman" w:hAnsi="Times New Roman" w:eastAsia="신명조"/>
          <w:b w:val="0"/>
          <w:i/>
          <w:sz w:val="18"/>
        </w:rPr>
        <w:t>τ</w:t>
      </w:r>
      <w:r>
        <w:rPr>
          <w:rFonts w:ascii="Times New Roman" w:hAnsi="Times New Roman" w:eastAsia="신명조"/>
          <w:b w:val="0"/>
          <w:i w:val="0"/>
          <w:sz w:val="18"/>
        </w:rPr>
        <w:t xml:space="preserve">; </w:t>
      </w:r>
      <w:r>
        <w:rPr>
          <w:rFonts w:ascii="Times New Roman" w:hAnsi="Times New Roman" w:eastAsia="신명조"/>
          <w:b w:val="0"/>
          <w:i/>
          <w:sz w:val="18"/>
        </w:rPr>
        <w:t>y</w:t>
      </w:r>
      <w:r>
        <w:rPr>
          <w:rFonts w:ascii="Times New Roman" w:hAnsi="Times New Roman" w:eastAsia="신명조"/>
          <w:b w:val="0"/>
          <w:i w:val="0"/>
          <w:sz w:val="18"/>
        </w:rPr>
        <w:t xml:space="preserve">, </w:t>
      </w:r>
      <w:r>
        <w:rPr>
          <w:rFonts w:ascii="Times New Roman" w:hAnsi="Times New Roman" w:eastAsia="신명조"/>
          <w:b w:val="0"/>
          <w:i/>
          <w:sz w:val="18"/>
        </w:rPr>
        <w:t>ŷ</w:t>
      </w:r>
      <w:r>
        <w:rPr>
          <w:rFonts w:ascii="Times New Roman" w:hAnsi="Times New Roman" w:eastAsia="신명조"/>
          <w:b w:val="0"/>
          <w:i w:val="0"/>
          <w:sz w:val="18"/>
        </w:rPr>
        <w:t xml:space="preserve">) = max[ </w:t>
      </w:r>
      <w:r>
        <w:rPr>
          <w:rFonts w:ascii="Times New Roman" w:hAnsi="Times New Roman" w:eastAsia="신명조"/>
          <w:b w:val="0"/>
          <w:i/>
          <w:sz w:val="18"/>
        </w:rPr>
        <w:t>τ</w:t>
      </w:r>
      <w:r>
        <w:rPr>
          <w:rFonts w:ascii="Times New Roman" w:hAnsi="Times New Roman" w:eastAsia="신명조"/>
          <w:b w:val="0"/>
          <w:i w:val="0"/>
          <w:sz w:val="18"/>
        </w:rPr>
        <w:t>(</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w:t>
      </w:r>
      <w:r>
        <w:rPr>
          <w:rFonts w:ascii="Times New Roman" w:hAnsi="Times New Roman" w:eastAsia="신명조"/>
          <w:b w:val="0"/>
          <w:i/>
          <w:sz w:val="18"/>
        </w:rPr>
        <w:t>τ</w:t>
      </w:r>
      <w:r>
        <w:rPr>
          <w:rFonts w:ascii="Times New Roman" w:hAnsi="Times New Roman" w:eastAsia="신명조"/>
          <w:b w:val="0"/>
          <w:i w:val="0"/>
          <w:sz w:val="18"/>
        </w:rPr>
        <w:t xml:space="preserve"> − 1)(</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    (1)</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본 연구는 </w:t>
      </w:r>
      <w:r>
        <w:rPr>
          <w:rFonts w:ascii="Times New Roman" w:hAnsi="Times New Roman" w:eastAsia="신명조"/>
          <w:b w:val="0"/>
          <w:i/>
          <w:sz w:val="18"/>
        </w:rPr>
        <w:t>τ</w:t>
      </w:r>
      <w:r>
        <w:rPr>
          <w:rFonts w:ascii="Times New Roman" w:hAnsi="Times New Roman" w:eastAsia="신명조"/>
          <w:b w:val="0"/>
          <w:i w:val="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wordWrap w:val="0"/>
        <w:autoSpaceDE w:val="0"/>
        <w:autoSpaceDN w:val="0"/>
        <w:spacing w:after="60" w:before="0" w:line="300" w:lineRule="auto"/>
      </w:pPr>
      <w:r>
        <w:rPr>
          <w:rFonts w:ascii="Times New Roman" w:hAnsi="Times New Roman" w:eastAsia="중고딕"/>
          <w:b w:val="0"/>
          <w:i w:val="0"/>
          <w:sz w:val="18"/>
        </w:rPr>
        <w:t>2.4 기준 모형과 본 연구의 위치</w:t>
      </w:r>
    </w:p>
    <w:p>
      <w:pPr>
        <w:wordWrap w:val="0"/>
        <w:autoSpaceDE w:val="0"/>
        <w:autoSpaceDN w:val="0"/>
        <w:spacing w:after="80" w:before="0" w:line="341" w:lineRule="auto"/>
        <w:ind w:firstLine="180"/>
        <w:jc w:val="both"/>
      </w:pPr>
      <w:r>
        <w:rPr>
          <w:rFonts w:ascii="Times New Roman" w:hAnsi="Times New Roman" w:eastAsia="신명조"/>
          <w:b w:val="0"/>
          <w:i w:val="0"/>
          <w:sz w:val="18"/>
        </w:rPr>
        <w:t>1장에서 언급한 금융 시계열 딥러닝 연구[1] 가운데, 장단기기억 신경망으로 미국 주식의 방향을 예측한 연구[14]와 다수의 머신러닝 기법을 자산가격 결정에 적용한 연구[15]가 대표적이다. 국내에서는 해외지수와 투자자별 매매 동향을 입력으로 삼은 등락 예측[2], 가중 손실 함수를 적용한 순환 합성곱 구조[16]가 보고되었다. 본 연구는 [2]와 마찬가지로 해외지수와 투자자 수급을 입력에 포함하되, 예측을 점이 아니라 분포로 산출한다는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잘 조정된 단순 기준모형과의 비교가 부재하다는 점은 이 분야 문헌의 공통 약점이므로, 본 연구는 동일 조건의 그래디언트 부스팅 기준모형을 함께 측정하여 5장에 보고한다.</w:t>
      </w:r>
    </w:p>
    <w:p>
      <w:pPr>
        <w:wordWrap w:val="0"/>
        <w:autoSpaceDE w:val="0"/>
        <w:autoSpaceDN w:val="0"/>
        <w:spacing w:after="80" w:before="0" w:line="300" w:lineRule="auto"/>
      </w:pPr>
      <w:r>
        <w:rPr>
          <w:rFonts w:ascii="Times New Roman" w:hAnsi="Times New Roman" w:eastAsia="견고딕"/>
          <w:b/>
          <w:i w:val="0"/>
          <w:sz w:val="20"/>
        </w:rPr>
        <w:t>3. 연구 방법</w:t>
      </w:r>
    </w:p>
    <w:p>
      <w:pPr>
        <w:wordWrap w:val="0"/>
        <w:autoSpaceDE w:val="0"/>
        <w:autoSpaceDN w:val="0"/>
        <w:spacing w:after="60" w:before="0" w:line="300" w:lineRule="auto"/>
      </w:pPr>
      <w:r>
        <w:rPr>
          <w:rFonts w:ascii="Times New Roman" w:hAnsi="Times New Roman" w:eastAsia="중고딕"/>
          <w:b w:val="0"/>
          <w:i w:val="0"/>
          <w:sz w:val="18"/>
        </w:rPr>
        <w:t>3.1 요구사항으로부터의 구조 도출</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구성요소는 모두 &lt;Table 1&gt;의 좌측 요구사항으로부터 역산되었다.</w:t>
      </w:r>
    </w:p>
    <w:p>
      <w:pPr>
        <w:wordWrap w:val="0"/>
        <w:autoSpaceDE w:val="0"/>
        <w:autoSpaceDN w:val="0"/>
        <w:spacing w:after="40" w:before="0" w:line="288" w:lineRule="auto"/>
      </w:pPr>
      <w:r>
        <w:rPr>
          <w:rFonts w:ascii="Times New Roman" w:hAnsi="Times New Roman" w:eastAsia="중고딕"/>
          <w:b w:val="0"/>
          <w:i w:val="0"/>
          <w:sz w:val="17"/>
        </w:rPr>
        <w:t>Table 1. Requirements and corresponding components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Requirement</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Required property</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Part chosen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Abstention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 distribution, not a point: q90 - q10 must exist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head, pinball loss</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120-day lookback x 201 stocks, daily</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Sequence-length reduction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 tokenization (120 to 24)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channel-independent encoding repeats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Channel-axis reduction before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variable selection network (vs. linear merge, Sec. 5.4)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Scale differs by stock and era</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Non-stationary normalization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with channel exceptions</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Local equities track global macro</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Exogenous sequence injection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Cross-attention (this work)</w:t>
            </w:r>
          </w:p>
        </w:tc>
      </w:tr>
    </w:tbl>
    <w:p>
      <w:pPr>
        <w:spacing w:after="80"/>
      </w:pPr>
    </w:p>
    <w:p>
      <w:pPr>
        <w:wordWrap w:val="0"/>
        <w:autoSpaceDE w:val="0"/>
        <w:autoSpaceDN w:val="0"/>
        <w:spacing w:after="60" w:before="0" w:line="300" w:lineRule="auto"/>
      </w:pPr>
      <w:r>
        <w:rPr>
          <w:rFonts w:ascii="Times New Roman" w:hAnsi="Times New Roman" w:eastAsia="중고딕"/>
          <w:b w:val="0"/>
          <w:i w:val="0"/>
          <w:sz w:val="18"/>
        </w:rPr>
        <w:t>3.2 제안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1446" w:right="1134" w:bottom="879" w:left="1134" w:header="567" w:footer="567"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55953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559538"/>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1. Architecture of the proposed model (a) with component detail (b-e). Colors mark the PatchTST lineage (yellow), the TFT components (blue), the macro cross-attention added in this work (teal) and the static context path (orange). The variable selection network and the cross-attention are design options; removing either did not change the results (Sec. 5.4).</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3.3 결합 과정의 설계 결정</w:t>
      </w:r>
    </w:p>
    <w:p>
      <w:pPr>
        <w:wordWrap w:val="0"/>
        <w:autoSpaceDE w:val="0"/>
        <w:autoSpaceDN w:val="0"/>
        <w:spacing w:after="80" w:before="0" w:line="341" w:lineRule="auto"/>
        <w:ind w:firstLine="180"/>
        <w:jc w:val="both"/>
      </w:pPr>
      <w:r>
        <w:rPr>
          <w:rFonts w:ascii="Times New Roman" w:hAnsi="Times New Roman" w:eastAsia="신명조"/>
          <w:b w:val="0"/>
          <w:i w:val="0"/>
          <w:sz w:val="18"/>
        </w:rPr>
        <w:t>아래 1)과 2)는 구조의 필수 요소가 아니라 비교 검토한 설계 선택지이며, 각각의 기여는 5.4절의 제거 실험으로 확인한다. 3)은 기권 규칙이 의존하는 구조적 요건이다.</w:t>
      </w:r>
    </w:p>
    <w:p>
      <w:pPr>
        <w:wordWrap w:val="0"/>
        <w:autoSpaceDE w:val="0"/>
        <w:autoSpaceDN w:val="0"/>
        <w:spacing w:after="60" w:before="0" w:line="341" w:lineRule="auto"/>
      </w:pPr>
      <w:r>
        <w:rPr>
          <w:rFonts w:ascii="Times New Roman" w:hAnsi="Times New Roman" w:eastAsia="신명조"/>
          <w:b w:val="0"/>
          <w:i w:val="0"/>
          <w:sz w:val="18"/>
        </w:rPr>
        <w:t>1) 변수선택망의 역할과 배치</w:t>
      </w:r>
    </w:p>
    <w:p>
      <w:pPr>
        <w:wordWrap w:val="0"/>
        <w:autoSpaceDE w:val="0"/>
        <w:autoSpaceDN w:val="0"/>
        <w:spacing w:after="80" w:before="0" w:line="341" w:lineRule="auto"/>
        <w:ind w:firstLine="180"/>
        <w:jc w:val="both"/>
      </w:pPr>
      <w:r>
        <w:rPr>
          <w:rFonts w:ascii="Times New Roman" w:hAnsi="Times New Roman" w:eastAsia="신명조"/>
          <w:b w:val="0"/>
          <w:i w:val="0"/>
          <w:sz w:val="18"/>
        </w:rPr>
        <w:t>패치 임베딩은 각 채널을 독립적으로 24개 토큰으로 변환한다. 채널 축을 줄이는 가장 싼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341" w:lineRule="auto"/>
        <w:jc w:val="center"/>
      </w:pPr>
      <w:r>
        <w:rPr>
          <w:rFonts w:ascii="Times New Roman" w:hAnsi="Times New Roman" w:eastAsia="신명조"/>
          <w:b w:val="0"/>
          <w:i/>
          <w:sz w:val="18"/>
        </w:rPr>
        <w:t>v</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softmax( GRN( [ flat(</w:t>
      </w:r>
      <w:r>
        <w:rPr>
          <w:rFonts w:ascii="Times New Roman" w:hAnsi="Times New Roman" w:eastAsia="신명조"/>
          <w:b w:val="0"/>
          <w:i/>
          <w:sz w:val="18"/>
        </w:rPr>
        <w:t>E</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 xml:space="preserve"> ] ) ) ∈ ℝ</w:t>
      </w:r>
      <w:r>
        <w:rPr>
          <w:rFonts w:ascii="Times New Roman" w:hAnsi="Times New Roman" w:eastAsia="신명조"/>
          <w:b w:val="0"/>
          <w:i/>
          <w:sz w:val="18"/>
          <w:vertAlign w:val="superscript"/>
        </w:rPr>
        <w:t>C</w:t>
      </w:r>
      <w:r>
        <w:rPr>
          <w:rFonts w:ascii="Times New Roman" w:hAnsi="Times New Roman" w:eastAsia="신명조"/>
          <w:b w:val="0"/>
          <w:i w:val="0"/>
          <w:sz w:val="18"/>
        </w:rPr>
        <w:t xml:space="preserve">,   </w:t>
      </w:r>
      <w:r>
        <w:rPr>
          <w:rFonts w:ascii="Times New Roman" w:hAnsi="Times New Roman" w:eastAsia="신명조"/>
          <w:b w:val="0"/>
          <w:i/>
          <w:sz w:val="18"/>
        </w:rPr>
        <w:t>n</w:t>
      </w:r>
      <w:r>
        <w:rPr>
          <w:rFonts w:ascii="Times New Roman" w:hAnsi="Times New Roman" w:eastAsia="신명조"/>
          <w:b w:val="0"/>
          <w:i w:val="0"/>
          <w:sz w:val="18"/>
        </w:rPr>
        <w:t xml:space="preserve"> = 1, …, </w:t>
      </w:r>
      <w:r>
        <w:rPr>
          <w:rFonts w:ascii="Times New Roman" w:hAnsi="Times New Roman" w:eastAsia="신명조"/>
          <w:b w:val="0"/>
          <w:i/>
          <w:sz w:val="18"/>
        </w:rPr>
        <w:t>N</w:t>
      </w:r>
      <w:r>
        <w:rPr>
          <w:rFonts w:ascii="Times New Roman" w:hAnsi="Times New Roman" w:eastAsia="신명조"/>
          <w:b w:val="0"/>
          <w:i w:val="0"/>
          <w:sz w:val="18"/>
        </w:rPr>
        <w:t xml:space="preserve">    (2)</w:t>
      </w:r>
    </w:p>
    <w:p>
      <w:pPr>
        <w:wordWrap w:val="0"/>
        <w:autoSpaceDE w:val="0"/>
        <w:autoSpaceDN w:val="0"/>
        <w:spacing w:after="80" w:before="0" w:line="341" w:lineRule="auto"/>
        <w:jc w:val="center"/>
      </w:pPr>
      <w:r>
        <w:rPr>
          <w:rFonts w:ascii="Times New Roman" w:hAnsi="Times New Roman" w:eastAsia="신명조"/>
          <w:b w:val="0"/>
          <w:i/>
          <w:sz w:val="18"/>
        </w:rPr>
        <w:t>Z</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i</w:t>
      </w:r>
      <w:r>
        <w:rPr>
          <w:rFonts w:ascii="Times New Roman" w:hAnsi="Times New Roman" w:eastAsia="신명조"/>
          <w:b w:val="0"/>
          <w:i w:val="0"/>
          <w:sz w:val="18"/>
        </w:rPr>
        <w:t xml:space="preserve"> </w:t>
      </w:r>
      <w:r>
        <w:rPr>
          <w:rFonts w:ascii="Times New Roman" w:hAnsi="Times New Roman" w:eastAsia="신명조"/>
          <w:b w:val="0"/>
          <w:i/>
          <w:sz w:val="18"/>
        </w:rPr>
        <w:t>v</w:t>
      </w:r>
      <w:r>
        <w:rPr>
          <w:rFonts w:ascii="Times New Roman" w:hAnsi="Times New Roman" w:eastAsia="신명조"/>
          <w:b w:val="0"/>
          <w:i/>
          <w:sz w:val="18"/>
          <w:vertAlign w:val="subscript"/>
        </w:rPr>
        <w:t>n,i</w:t>
      </w:r>
      <w:r>
        <w:rPr>
          <w:rFonts w:ascii="Times New Roman" w:hAnsi="Times New Roman" w:eastAsia="신명조"/>
          <w:b w:val="0"/>
          <w:i w:val="0"/>
          <w:sz w:val="18"/>
        </w:rPr>
        <w:t xml:space="preserve"> · GRN</w:t>
      </w:r>
      <w:r>
        <w:rPr>
          <w:rFonts w:ascii="Times New Roman" w:hAnsi="Times New Roman" w:eastAsia="신명조"/>
          <w:b w:val="0"/>
          <w:i/>
          <w:sz w:val="18"/>
          <w:vertAlign w:val="subscript"/>
        </w:rPr>
        <w:t>i</w:t>
      </w:r>
      <w:r>
        <w:rPr>
          <w:rFonts w:ascii="Times New Roman" w:hAnsi="Times New Roman" w:eastAsia="신명조"/>
          <w:b w:val="0"/>
          <w:i w:val="0"/>
          <w:sz w:val="18"/>
        </w:rPr>
        <w:t>(</w:t>
      </w:r>
      <w:r>
        <w:rPr>
          <w:rFonts w:ascii="Times New Roman" w:hAnsi="Times New Roman" w:eastAsia="신명조"/>
          <w:b w:val="0"/>
          <w:i/>
          <w:sz w:val="18"/>
        </w:rPr>
        <w:t>E</w:t>
      </w:r>
      <w:r>
        <w:rPr>
          <w:rFonts w:ascii="Times New Roman" w:hAnsi="Times New Roman" w:eastAsia="신명조"/>
          <w:b w:val="0"/>
          <w:i/>
          <w:sz w:val="18"/>
          <w:vertAlign w:val="subscript"/>
        </w:rPr>
        <w:t>n,i</w:t>
      </w:r>
      <w:r>
        <w:rPr>
          <w:rFonts w:ascii="Times New Roman" w:hAnsi="Times New Roman" w:eastAsia="신명조"/>
          <w:b w:val="0"/>
          <w:i w:val="0"/>
          <w:sz w:val="18"/>
        </w:rPr>
        <w:t>)    (3)</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변수선택망을 인코더 뒤에 두면 인코더가 채널 수만큼 반복 실행되는 반면, 앞에 두면 채널이 먼저 하나로 축약되어 1회만 실행된다. 패치마다 산출되는 </w:t>
      </w:r>
      <w:r>
        <w:rPr>
          <w:rFonts w:ascii="Times New Roman" w:hAnsi="Times New Roman" w:eastAsia="신명조"/>
          <w:b w:val="0"/>
          <w:i/>
          <w:sz w:val="18"/>
        </w:rPr>
        <w:t>v</w:t>
      </w:r>
      <w:r>
        <w:rPr>
          <w:rFonts w:ascii="Times New Roman" w:hAnsi="Times New Roman" w:eastAsia="신명조"/>
          <w:b w:val="0"/>
          <w:i w:val="0"/>
          <w:sz w:val="18"/>
        </w:rPr>
        <w:t xml:space="preserve"> ∈ ℝ</w:t>
      </w:r>
      <w:r>
        <w:rPr>
          <w:rFonts w:ascii="Times New Roman" w:hAnsi="Times New Roman" w:eastAsia="신명조"/>
          <w:b w:val="0"/>
          <w:i/>
          <w:sz w:val="18"/>
          <w:vertAlign w:val="superscript"/>
        </w:rPr>
        <w:t>N×C</w:t>
      </w:r>
      <w:r>
        <w:rPr>
          <w:rFonts w:ascii="Times New Roman" w:hAnsi="Times New Roman" w:eastAsia="신명조"/>
          <w:b w:val="0"/>
          <w:i w:val="0"/>
          <w:sz w:val="18"/>
        </w:rPr>
        <w:t>는 각 채널의 사용 비중으로 남으나 본 연구는 이 값을 매매 근거로 제시하지 않는다. 종목 채널까지 선형 합치기로 바꾼 변형은 모수가 0.12M으로 줄면서도 정확도와 보류 행태가 같았다(5.4절). 인코더 앞에서 채널을 하나로 합치는 것이 비용 절감의 원인이며, 게이트는 그 이상의 정확도를 더하지 않았다.</w:t>
      </w:r>
    </w:p>
    <w:p>
      <w:pPr>
        <w:wordWrap w:val="0"/>
        <w:autoSpaceDE w:val="0"/>
        <w:autoSpaceDN w:val="0"/>
        <w:spacing w:after="60" w:before="0" w:line="341" w:lineRule="auto"/>
      </w:pPr>
      <w:r>
        <w:rPr>
          <w:rFonts w:ascii="Times New Roman" w:hAnsi="Times New Roman" w:eastAsia="신명조"/>
          <w:b w:val="0"/>
          <w:i w:val="0"/>
          <w:sz w:val="18"/>
        </w:rPr>
        <w:t>2) 매크로 크로스어텐션의 방향</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 지표를 주입하는 크로스어텐션 모듈은 본 연구에서 직접 설계하였다. 외생변수를 어텐션으로 주입하는 발상 자체는 새롭지 않다. TimeXer[17]가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341" w:lineRule="auto"/>
        <w:jc w:val="center"/>
      </w:pPr>
      <w:r>
        <w:rPr>
          <w:rFonts w:ascii="Times New Roman" w:hAnsi="Times New Roman" w:eastAsia="신명조"/>
          <w:b w:val="0"/>
          <w:i w:val="0"/>
          <w:sz w:val="18"/>
        </w:rPr>
        <w:t>CrossAttn(</w:t>
      </w:r>
      <w:r>
        <w:rPr>
          <w:rFonts w:ascii="Times New Roman" w:hAnsi="Times New Roman" w:eastAsia="신명조"/>
          <w:b w:val="0"/>
          <w:i/>
          <w:sz w:val="18"/>
        </w:rPr>
        <w:t>Z</w:t>
      </w:r>
      <w:r>
        <w:rPr>
          <w:rFonts w:ascii="Times New Roman" w:hAnsi="Times New Roman" w:eastAsia="신명조"/>
          <w:b w:val="0"/>
          <w:i w:val="0"/>
          <w:sz w:val="18"/>
        </w:rPr>
        <w:t xml:space="preserve">,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 softmax[ (</w:t>
      </w:r>
      <w:r>
        <w:rPr>
          <w:rFonts w:ascii="Times New Roman" w:hAnsi="Times New Roman" w:eastAsia="신명조"/>
          <w:b w:val="0"/>
          <w:i/>
          <w:sz w:val="18"/>
        </w:rPr>
        <w:t>Z 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vertAlign w:val="superscript"/>
        </w:rPr>
        <w:t>T</w:t>
      </w:r>
      <w:r>
        <w:rPr>
          <w:rFonts w:ascii="Times New Roman" w:hAnsi="Times New Roman" w:eastAsia="신명조"/>
          <w:b w:val="0"/>
          <w:i w:val="0"/>
          <w:sz w:val="18"/>
        </w:rPr>
        <w:t xml:space="preserve"> ∕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 xml:space="preserve"> ]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(4)</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다만 이 모듈의 정확도 기여는 확인되지 않았다(5.4절).</w:t>
      </w:r>
    </w:p>
    <w:p>
      <w:pPr>
        <w:wordWrap w:val="0"/>
        <w:autoSpaceDE w:val="0"/>
        <w:autoSpaceDN w:val="0"/>
        <w:spacing w:after="60" w:before="0" w:line="341" w:lineRule="auto"/>
      </w:pPr>
      <w:r>
        <w:rPr>
          <w:rFonts w:ascii="Times New Roman" w:hAnsi="Times New Roman" w:eastAsia="신명조"/>
          <w:b w:val="0"/>
          <w:i w:val="0"/>
          <w:sz w:val="18"/>
        </w:rPr>
        <w:t>3) 분위 단조성의 구조적 보장과 헤드 초기화</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교차를 손실 벌점이 아니라 누적 소프트플러스 구조로 원천 차단하였다(식 5).</w:t>
      </w:r>
    </w:p>
    <w:p>
      <w:pPr>
        <w:wordWrap w:val="0"/>
        <w:autoSpaceDE w:val="0"/>
        <w:autoSpaceDN w:val="0"/>
        <w:spacing w:after="80" w:before="0" w:line="341" w:lineRule="auto"/>
        <w:jc w:val="center"/>
      </w:pP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w:t>
      </w:r>
      <w:r>
        <w:rPr>
          <w:rFonts w:ascii="Times New Roman" w:hAnsi="Times New Roman" w:eastAsia="신명조"/>
          <w:b w:val="0"/>
          <w:i/>
          <w:sz w:val="18"/>
        </w:rPr>
        <w:t>o</w:t>
      </w:r>
      <w:r>
        <w:rPr>
          <w:rFonts w:ascii="Times New Roman" w:hAnsi="Times New Roman" w:eastAsia="신명조"/>
          <w:b w:val="0"/>
          <w:i/>
          <w:sz w:val="18"/>
          <w:vertAlign w:val="subscript"/>
        </w:rPr>
        <w:t>1</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2</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90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3</w:t>
      </w:r>
      <w:r>
        <w:rPr>
          <w:rFonts w:ascii="Times New Roman" w:hAnsi="Times New Roman" w:eastAsia="신명조"/>
          <w:b w:val="0"/>
          <w:i w:val="0"/>
          <w:sz w:val="18"/>
        </w:rPr>
        <w:t>)    (5)</w:t>
      </w:r>
    </w:p>
    <w:p>
      <w:pPr>
        <w:wordWrap w:val="0"/>
        <w:autoSpaceDE w:val="0"/>
        <w:autoSpaceDN w:val="0"/>
        <w:spacing w:after="80" w:before="0" w:line="341" w:lineRule="auto"/>
        <w:ind w:firstLine="180"/>
        <w:jc w:val="both"/>
      </w:pPr>
      <w:r>
        <w:rPr>
          <w:rFonts w:ascii="Times New Roman" w:hAnsi="Times New Roman" w:eastAsia="신명조"/>
          <w:b w:val="0"/>
          <w:i w:val="0"/>
          <w:sz w:val="18"/>
        </w:rPr>
        <w:t>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341" w:lineRule="auto"/>
        <w:ind w:firstLine="180"/>
        <w:jc w:val="both"/>
      </w:pPr>
      <w:r>
        <w:rPr>
          <w:rFonts w:ascii="Times New Roman" w:hAnsi="Times New Roman" w:eastAsia="신명조"/>
          <w:b w:val="0"/>
          <w:i w:val="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wordWrap w:val="0"/>
        <w:autoSpaceDE w:val="0"/>
        <w:autoSpaceDN w:val="0"/>
        <w:spacing w:after="60" w:before="0" w:line="300" w:lineRule="auto"/>
      </w:pPr>
      <w:r>
        <w:rPr>
          <w:rFonts w:ascii="Times New Roman" w:hAnsi="Times New Roman" w:eastAsia="중고딕"/>
          <w:b w:val="0"/>
          <w:i w:val="0"/>
          <w:sz w:val="18"/>
        </w:rPr>
        <w:t>3.4 최종 설정</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2&gt;는 이후 모든 실험에 사용한 설정이다. 정규화는 2.3절에서 기술한 방식을 따른다.</w:t>
      </w:r>
    </w:p>
    <w:p>
      <w:pPr>
        <w:wordWrap w:val="0"/>
        <w:autoSpaceDE w:val="0"/>
        <w:autoSpaceDN w:val="0"/>
        <w:spacing w:after="40" w:before="0" w:line="288" w:lineRule="auto"/>
      </w:pPr>
      <w:r>
        <w:rPr>
          <w:rFonts w:ascii="Times New Roman" w:hAnsi="Times New Roman" w:eastAsia="중고딕"/>
          <w:b w:val="0"/>
          <w:i w:val="0"/>
          <w:sz w:val="17"/>
        </w:rPr>
        <w:t>Table 2. Final model configuration</w:t>
      </w:r>
    </w:p>
    <w:tbl>
      <w:tblPr>
        <w:tblW w:type="auto" w:w="0"/>
        <w:jc w:val="center"/>
        <w:tblLayout w:type="fixed"/>
        <w:tblLook w:firstColumn="1" w:firstRow="1" w:lastColumn="0" w:lastRow="0" w:noHBand="0" w:noVBand="1" w:val="04A0"/>
      </w:tblPr>
      <w:tblGrid>
        <w:gridCol w:w="4819"/>
        <w:gridCol w:w="4819"/>
      </w:tblGrid>
      <w:tr>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Item</w:t>
            </w:r>
          </w:p>
        </w:tc>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Value</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Lookback / patch / stride</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120 / 5 / 5, giving 24 tokens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d_model / heads / layers / d_ff / dropout</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32 / 2 / 1 / 64 / 0.5</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0.1, 0.5, 0.9</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 macro / static inputs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 channels / 13 channels / 3 categoricals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Normalization</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applied selectively by channel</w:t>
            </w:r>
          </w:p>
        </w:tc>
      </w:tr>
      <w:tr>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Parameters</w:t>
            </w:r>
          </w:p>
        </w:tc>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0.50M</w:t>
            </w:r>
          </w:p>
        </w:tc>
      </w:tr>
    </w:tbl>
    <w:p>
      <w:pPr>
        <w:spacing w:after="80"/>
      </w:pPr>
    </w:p>
    <w:p>
      <w:pPr>
        <w:wordWrap w:val="0"/>
        <w:autoSpaceDE w:val="0"/>
        <w:autoSpaceDN w:val="0"/>
        <w:spacing w:after="80" w:before="0" w:line="300" w:lineRule="auto"/>
      </w:pPr>
      <w:r>
        <w:rPr>
          <w:rFonts w:ascii="Times New Roman" w:hAnsi="Times New Roman" w:eastAsia="견고딕"/>
          <w:b/>
          <w:i w:val="0"/>
          <w:sz w:val="20"/>
        </w:rPr>
        <w:t>4. 자료와 실험 설계</w:t>
      </w:r>
    </w:p>
    <w:p>
      <w:pPr>
        <w:wordWrap w:val="0"/>
        <w:autoSpaceDE w:val="0"/>
        <w:autoSpaceDN w:val="0"/>
        <w:spacing w:after="60" w:before="0" w:line="300" w:lineRule="auto"/>
      </w:pPr>
      <w:r>
        <w:rPr>
          <w:rFonts w:ascii="Times New Roman" w:hAnsi="Times New Roman" w:eastAsia="중고딕"/>
          <w:b w:val="0"/>
          <w:i w:val="0"/>
          <w:sz w:val="18"/>
        </w:rPr>
        <w:t>4.1 자료</w:t>
      </w:r>
    </w:p>
    <w:p>
      <w:pPr>
        <w:wordWrap w:val="0"/>
        <w:autoSpaceDE w:val="0"/>
        <w:autoSpaceDN w:val="0"/>
        <w:spacing w:after="80" w:before="0" w:line="341" w:lineRule="auto"/>
        <w:ind w:firstLine="180"/>
        <w:jc w:val="both"/>
      </w:pPr>
      <w:r>
        <w:rPr>
          <w:rFonts w:ascii="Times New Roman" w:hAnsi="Times New Roman" w:eastAsia="신명조"/>
          <w:b w:val="0"/>
          <w:i w:val="0"/>
          <w:sz w:val="18"/>
        </w:rPr>
        <w:t>분석 자료는 코스피200 구성종목 201개의 2015년 1월 2일부터 2026년 10월 16일까지 일별 자료 519,617행이며, 종목당 최대 2,892거래일이다.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wordWrap w:val="0"/>
        <w:autoSpaceDE w:val="0"/>
        <w:autoSpaceDN w:val="0"/>
        <w:spacing w:after="60" w:before="0" w:line="300" w:lineRule="auto"/>
      </w:pPr>
      <w:r>
        <w:rPr>
          <w:rFonts w:ascii="Times New Roman" w:hAnsi="Times New Roman" w:eastAsia="중고딕"/>
          <w:b w:val="0"/>
          <w:i w:val="0"/>
          <w:sz w:val="18"/>
        </w:rPr>
        <w:t>4.2 변수와 목표변수</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3&gt;은 입력 변수의 구성이다. 동적 30채널 가운데 기술적 지표 8채널은 수렴·발산 지표(3), 상대강도지수, 상품채널지수, 볼린저 밴드(2), 실질변동폭(ATR)이다.</w:t>
      </w:r>
    </w:p>
    <w:p>
      <w:pPr>
        <w:wordWrap w:val="0"/>
        <w:autoSpaceDE w:val="0"/>
        <w:autoSpaceDN w:val="0"/>
        <w:spacing w:after="40" w:before="0" w:line="288" w:lineRule="auto"/>
      </w:pPr>
      <w:r>
        <w:rPr>
          <w:rFonts w:ascii="Times New Roman" w:hAnsi="Times New Roman" w:eastAsia="중고딕"/>
          <w:b w:val="0"/>
          <w:i w:val="0"/>
          <w:sz w:val="17"/>
        </w:rPr>
        <w:t>Table 3. Input channels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Group</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Channels</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(stock)</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returns and momentum (5), trading activity (4), moving-average gaps (3), technical indicators (8), index-relative (6), investor flows (4)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Macro sequences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KOSPI and KOSDAQ derivatives, overseas index exchange-traded funds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Static categoricals</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sector, market-cap bucket, weekday</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3</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341" w:lineRule="auto"/>
        <w:ind w:firstLine="180"/>
        <w:jc w:val="both"/>
      </w:pPr>
      <w:r>
        <w:rPr>
          <w:rFonts w:ascii="Times New Roman" w:hAnsi="Times New Roman" w:eastAsia="신명조"/>
          <w:b w:val="0"/>
          <w:i w:val="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wordWrap w:val="0"/>
        <w:autoSpaceDE w:val="0"/>
        <w:autoSpaceDN w:val="0"/>
        <w:spacing w:after="80" w:before="0" w:line="341" w:lineRule="auto"/>
        <w:jc w:val="center"/>
      </w:pPr>
      <w:r>
        <w:rPr>
          <w:rFonts w:ascii="Times New Roman" w:hAnsi="Times New Roman" w:eastAsia="신명조"/>
          <w:b w:val="0"/>
          <w:i/>
          <w:sz w:val="18"/>
        </w:rPr>
        <w:t>y</w:t>
      </w:r>
      <w:r>
        <w:rPr>
          <w:rFonts w:ascii="Times New Roman" w:hAnsi="Times New Roman" w:eastAsia="신명조"/>
          <w:b w:val="0"/>
          <w:i/>
          <w:sz w:val="18"/>
          <w:vertAlign w:val="subscript"/>
        </w:rPr>
        <w:t>t</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(6)</w:t>
      </w:r>
    </w:p>
    <w:p>
      <w:pPr>
        <w:wordWrap w:val="0"/>
        <w:autoSpaceDE w:val="0"/>
        <w:autoSpaceDN w:val="0"/>
        <w:spacing w:after="60" w:before="0" w:line="300" w:lineRule="auto"/>
      </w:pPr>
      <w:r>
        <w:rPr>
          <w:rFonts w:ascii="Times New Roman" w:hAnsi="Times New Roman" w:eastAsia="중고딕"/>
          <w:b w:val="0"/>
          <w:i w:val="0"/>
          <w:sz w:val="18"/>
        </w:rPr>
        <w:t>4.3 분할과 기준선</w:t>
      </w:r>
    </w:p>
    <w:p>
      <w:pPr>
        <w:wordWrap w:val="0"/>
        <w:autoSpaceDE w:val="0"/>
        <w:autoSpaceDN w:val="0"/>
        <w:spacing w:after="80" w:before="0" w:line="341" w:lineRule="auto"/>
        <w:ind w:firstLine="180"/>
        <w:jc w:val="both"/>
      </w:pPr>
      <w:r>
        <w:rPr>
          <w:rFonts w:ascii="Times New Roman" w:hAnsi="Times New Roman" w:eastAsia="신명조"/>
          <w:b w:val="0"/>
          <w:i w:val="0"/>
          <w:sz w:val="18"/>
        </w:rPr>
        <w:t>분할은 종목이 아니라 날짜 기준 전역 분할이다. 2022년까지 학습, 2023년 검증, 2024년 이후 검정이며, 목표가 5일 앞을 보므로 각 경계에 5일 격리구간을 둔다. 정규화 통계는 학습 구간 행에서만 추정한다.</w:t>
      </w:r>
    </w:p>
    <w:p>
      <w:pPr>
        <w:wordWrap w:val="0"/>
        <w:autoSpaceDE w:val="0"/>
        <w:autoSpaceDN w:val="0"/>
        <w:spacing w:after="80" w:before="0" w:line="341" w:lineRule="auto"/>
        <w:ind w:firstLine="180"/>
        <w:jc w:val="both"/>
      </w:pPr>
      <w:r>
        <w:rPr>
          <w:rFonts w:ascii="Times New Roman" w:hAnsi="Times New Roman" w:eastAsia="신명조"/>
          <w:b w:val="0"/>
          <w:i w:val="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검정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인접 표본은 120일 중 119일의 입력과 5일 중 4일의 목표를 공유하므로 명목 학습 행 264,653건의 실질 규모는 훨씬 작다. 이 때문에 모수를 늘리면 1~2회차에 과적합되었고(이전 설정 146종목·17채널에서의 탐색), 탐색 끝에 0.50M으로 고정하였다.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wordWrap w:val="0"/>
        <w:autoSpaceDE w:val="0"/>
        <w:autoSpaceDN w:val="0"/>
        <w:spacing w:after="60" w:before="0" w:line="300" w:lineRule="auto"/>
      </w:pPr>
      <w:r>
        <w:rPr>
          <w:rFonts w:ascii="Times New Roman" w:hAnsi="Times New Roman" w:eastAsia="중고딕"/>
          <w:b w:val="0"/>
          <w:i w:val="0"/>
          <w:sz w:val="18"/>
        </w:rPr>
        <w:t>4.4 기권 규칙</w:t>
      </w:r>
    </w:p>
    <w:p>
      <w:pPr>
        <w:wordWrap w:val="0"/>
        <w:autoSpaceDE w:val="0"/>
        <w:autoSpaceDN w:val="0"/>
        <w:spacing w:after="80" w:before="0" w:line="341" w:lineRule="auto"/>
        <w:ind w:firstLine="180"/>
        <w:jc w:val="both"/>
      </w:pPr>
      <w:r>
        <w:rPr>
          <w:rFonts w:ascii="Times New Roman" w:hAnsi="Times New Roman" w:eastAsia="신명조"/>
          <w:b w:val="0"/>
          <w:i w:val="0"/>
          <w:sz w:val="18"/>
        </w:rPr>
        <w:t>비교하는 모든 모형에 동일한 규칙을 적용한다. 예측 구간의 폭이 최근 분포의 일정 분위를 넘으면 기권한다.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wordWrap w:val="0"/>
        <w:autoSpaceDE w:val="0"/>
        <w:autoSpaceDN w:val="0"/>
        <w:spacing w:after="80" w:before="0" w:line="300" w:lineRule="auto"/>
      </w:pPr>
      <w:r>
        <w:rPr>
          <w:rFonts w:ascii="Times New Roman" w:hAnsi="Times New Roman" w:eastAsia="견고딕"/>
          <w:b/>
          <w:i w:val="0"/>
          <w:sz w:val="20"/>
        </w:rPr>
        <w:t>5. 실험 결과</w:t>
      </w:r>
    </w:p>
    <w:p>
      <w:pPr>
        <w:wordWrap w:val="0"/>
        <w:autoSpaceDE w:val="0"/>
        <w:autoSpaceDN w:val="0"/>
        <w:spacing w:after="60" w:before="0" w:line="300" w:lineRule="auto"/>
      </w:pPr>
      <w:r>
        <w:rPr>
          <w:rFonts w:ascii="Times New Roman" w:hAnsi="Times New Roman" w:eastAsia="중고딕"/>
          <w:b w:val="0"/>
          <w:i w:val="0"/>
          <w:sz w:val="18"/>
        </w:rPr>
        <w:t>5.1 동일조건 정확도 비교</w:t>
      </w:r>
    </w:p>
    <w:p>
      <w:pPr>
        <w:wordWrap w:val="0"/>
        <w:autoSpaceDE w:val="0"/>
        <w:autoSpaceDN w:val="0"/>
        <w:spacing w:after="80" w:before="0" w:line="341" w:lineRule="auto"/>
        <w:ind w:firstLine="180"/>
        <w:jc w:val="both"/>
      </w:pPr>
      <w:r>
        <w:rPr>
          <w:rFonts w:ascii="Times New Roman" w:hAnsi="Times New Roman" w:eastAsia="신명조"/>
          <w:b w:val="0"/>
          <w:i w:val="0"/>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4. Forecast accuracy (three-quantile pinball loss, mean over five seeds 42-46 with the standard deviation). All transformer rows were trained on Kaggle GPUs under identical mixed-precision settings and evaluated on one device. The quantile gradient-boosting row is a single run, since the fit has no random component. The unconditional-quantile baseline is 0.012175 on validation and 0.018754 on test. With all three models in single precision, one run each, the test improvements are +5.25% for the proposed model, +3.30% for TFT and +2.25% for PatchTST with the quantile head, so the ordering is unchanged. The original point-forecast PatchTST is left out: scored as three identical quantiles it falls 47.79% below the baseline, which reflects the loss function rather than a comparison</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Validation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Best epoch</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0.035M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0.012166 ± 0.000022</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0.018686 ± 0.000130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+0.36%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1-5</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0.687M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0.011935 ± 0.000020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0.018325 ± 0.000091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+2.28%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375 trees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0.011890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+2.34%</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0.018107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0.011889 ± 0.000012</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+2.35%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0.017826 ± 0.000059</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+4.95%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2-10</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제안 모형은 두 구간 모두에서 TFT 원본보다 손실이 낮았고, 다섯 시드를 짝지은 열 번의 비교 전부에서 그러하였다 (부호검정 </w:t>
      </w:r>
      <w:r>
        <w:rPr>
          <w:rFonts w:ascii="Times New Roman" w:hAnsi="Times New Roman" w:eastAsia="신명조"/>
          <w:b w:val="0"/>
          <w:i/>
          <w:sz w:val="18"/>
        </w:rPr>
        <w:t>p</w:t>
      </w:r>
      <w:r>
        <w:rPr>
          <w:rFonts w:ascii="Times New Roman" w:hAnsi="Times New Roman" w:eastAsia="신명조"/>
          <w:b w:val="0"/>
          <w:i w:val="0"/>
          <w:sz w:val="18"/>
        </w:rPr>
        <w:t xml:space="preserve"> = 0.031 단측, 두 구간 동일). 검증구간의 격차는 핀볼 손실 0.000046으로 기준선 대비 개선폭의 16%에 그치므로 우위가 아니라 대등하거나 근소하게 낫다는 수준으로 해석한다. 조기종료와 최적 회차 선택에 쓰이지 않은 검정구간에서는 격차가 0.000499로 벌어지며 다섯 시드의 범위가 겹치지 않는다 (0.017739~0.017895 대 0.018205~0.018407). 평균 차이에 대한 Welch 검정은 검증 </w:t>
      </w:r>
      <w:r>
        <w:rPr>
          <w:rFonts w:ascii="Times New Roman" w:hAnsi="Times New Roman" w:eastAsia="신명조"/>
          <w:b w:val="0"/>
          <w:i/>
          <w:sz w:val="18"/>
        </w:rPr>
        <w:t>t</w:t>
      </w:r>
      <w:r>
        <w:rPr>
          <w:rFonts w:ascii="Times New Roman" w:hAnsi="Times New Roman" w:eastAsia="신명조"/>
          <w:b w:val="0"/>
          <w:i w:val="0"/>
          <w:sz w:val="18"/>
        </w:rPr>
        <w:t xml:space="preserve"> = 4.47(</w:t>
      </w:r>
      <w:r>
        <w:rPr>
          <w:rFonts w:ascii="Times New Roman" w:hAnsi="Times New Roman" w:eastAsia="신명조"/>
          <w:b w:val="0"/>
          <w:i/>
          <w:sz w:val="18"/>
        </w:rPr>
        <w:t>p</w:t>
      </w:r>
      <w:r>
        <w:rPr>
          <w:rFonts w:ascii="Times New Roman" w:hAnsi="Times New Roman" w:eastAsia="신명조"/>
          <w:b w:val="0"/>
          <w:i w:val="0"/>
          <w:sz w:val="18"/>
        </w:rPr>
        <w:t xml:space="preserve"> = 0.004), 검정 </w:t>
      </w:r>
      <w:r>
        <w:rPr>
          <w:rFonts w:ascii="Times New Roman" w:hAnsi="Times New Roman" w:eastAsia="신명조"/>
          <w:b w:val="0"/>
          <w:i/>
          <w:sz w:val="18"/>
        </w:rPr>
        <w:t>t</w:t>
      </w:r>
      <w:r>
        <w:rPr>
          <w:rFonts w:ascii="Times New Roman" w:hAnsi="Times New Roman" w:eastAsia="신명조"/>
          <w:b w:val="0"/>
          <w:i w:val="0"/>
          <w:sz w:val="18"/>
        </w:rPr>
        <w:t xml:space="preserve"> = 10.33(</w:t>
      </w:r>
      <w:r>
        <w:rPr>
          <w:rFonts w:ascii="Times New Roman" w:hAnsi="Times New Roman" w:eastAsia="신명조"/>
          <w:b w:val="0"/>
          <w:i/>
          <w:sz w:val="18"/>
        </w:rPr>
        <w:t>p</w:t>
      </w:r>
      <w:r>
        <w:rPr>
          <w:rFonts w:ascii="Times New Roman" w:hAnsi="Times New Roman" w:eastAsia="신명조"/>
          <w:b w:val="0"/>
          <w:i w:val="0"/>
          <w:sz w:val="18"/>
        </w:rPr>
        <w:t xml:space="preserve"> &lt; 0.001)이다. 같은 표본의 날짜별 손실 계열에 Diebold-Mariano 검정(Newey-West 4시차, Harvey-Leybourne-Newbold 보정)을 적용하면 550거래일의 검정구간에서는 다섯 시드 모두 유의하나 (</w:t>
      </w:r>
      <w:r>
        <w:rPr>
          <w:rFonts w:ascii="Times New Roman" w:hAnsi="Times New Roman" w:eastAsia="신명조"/>
          <w:b w:val="0"/>
          <w:i/>
          <w:sz w:val="18"/>
        </w:rPr>
        <w:t>p</w:t>
      </w:r>
      <w:r>
        <w:rPr>
          <w:rFonts w:ascii="Times New Roman" w:hAnsi="Times New Roman" w:eastAsia="신명조"/>
          <w:b w:val="0"/>
          <w:i w:val="0"/>
          <w:sz w:val="18"/>
        </w:rPr>
        <w:t xml:space="preserve"> = 0.022, 0.001, 0.009, 0.003, &lt; 0.001) 122거래일의 검증구간에서는 다섯 시드 모두 유의하지 않다 (</w:t>
      </w:r>
      <w:r>
        <w:rPr>
          <w:rFonts w:ascii="Times New Roman" w:hAnsi="Times New Roman" w:eastAsia="신명조"/>
          <w:b w:val="0"/>
          <w:i/>
          <w:sz w:val="18"/>
        </w:rPr>
        <w:t>p</w:t>
      </w:r>
      <w:r>
        <w:rPr>
          <w:rFonts w:ascii="Times New Roman" w:hAnsi="Times New Roman" w:eastAsia="신명조"/>
          <w:b w:val="0"/>
          <w:i w:val="0"/>
          <w:sz w:val="18"/>
        </w:rPr>
        <w:t xml:space="preserve"> = 0.16~0.56) — 날짜를 표본으로 보는 검정이므로 짧은 구간에서는 검정력이 약하다. 분위 헤드만 부착한 PatchTST는 검증구간 +0.07%, 검정구간 +0.36%로 상수 예측을 간신히 상회하는 데 그쳤고, 다섯 시드 가운데 네 시드는 첫 회차에서 최적값에 도달하였다. 격차가 검정구간에서 벌어지는 이유의 하나는 학습 곡선이다. TFT는 다섯 시드 모두 1~2회차에서 최적값에 도달한 뒤 과적합으로 돌아섰고, 제안 모형의 최적 회차는 2~10회차에 분포하였다. 다만 격차의 일부는 수치 정밀도 설정에서 오며, 단정밀도로 맞추면 줄어든다(&lt;Table 4&gt; 캡션).</w:t>
      </w:r>
    </w:p>
    <w:p>
      <w:pPr>
        <w:wordWrap w:val="0"/>
        <w:autoSpaceDE w:val="0"/>
        <w:autoSpaceDN w:val="0"/>
        <w:spacing w:after="80" w:before="0" w:line="341" w:lineRule="auto"/>
        <w:ind w:firstLine="180"/>
        <w:jc w:val="both"/>
      </w:pPr>
      <w:r>
        <w:rPr>
          <w:rFonts w:ascii="Times New Roman" w:hAnsi="Times New Roman" w:eastAsia="신명조"/>
          <w:b w:val="0"/>
          <w:i w:val="0"/>
          <w:sz w:val="18"/>
        </w:rPr>
        <w:t>트리 계열 기준모형으로 분위 손실을 쓰는 히스토그램 그래디언트 부스팅(LightGBM[18]의 방식을 따른 scikit-learn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부표본 추출이 없어 같은 자료에서는 같은 모형이 나오므로 한 번만 학습하였다. 검증구간 손실은 제안 모형과 같았고(0.011890 대 0.011889), 검정구간 손실은 TFT 원본보다 작고 제안 모형보다 컸다. 제안 모형의 다섯 시드는 모두 이 값보다 낮았다(최대 0.017895 대 0.018107).</w:t>
      </w:r>
    </w:p>
    <w:p>
      <w:pPr>
        <w:wordWrap w:val="0"/>
        <w:autoSpaceDE w:val="0"/>
        <w:autoSpaceDN w:val="0"/>
        <w:spacing w:after="60" w:before="0" w:line="300" w:lineRule="auto"/>
      </w:pPr>
      <w:r>
        <w:rPr>
          <w:rFonts w:ascii="Times New Roman" w:hAnsi="Times New Roman" w:eastAsia="중고딕"/>
          <w:b w:val="0"/>
          <w:i w:val="0"/>
          <w:sz w:val="18"/>
        </w:rPr>
        <w:t>5.2 계산 비용</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5. Computational cost measured on one device (Mac MPS, batch 64, 120-day input, 201 stocks). Seconds per epoch is the median training-step time over 40 batches times the 4,135 batches that one epoch takes over the 264,653 training windows of Section 4.3. The universe pass is the median of 21 forward passes over 201 stocks, and latency per stock is that value divided by 201 rather than an independent measurement. Activation is the device allocation added by a forward pass that retains the backward graph. Two independent runs agreed within 0.8%. The quantile GBDT has no epochs and runs on the CPU (8 cores): its row gives one full fit of the three quantile models at the selected tree counts, the universe pass over the 199 stocks of the last test day, and the serialized model size</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s / epoch</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Latency / stock</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Universe pass</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Activation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 memory</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110.8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0.092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18.6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172.8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550.8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0.693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139.4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679.1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2.75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143.5</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28.7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132.9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2.00 MB</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Quantile GBDT (CPU)</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26.1 (full fit)</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0.068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13.4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2.13 MB</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대등한 정확도에서 제안 모형은 TFT 원본 대비 학습 3.8배, 종목당 추론 4.8배, 활성값 메모리 5.1배의 절감을 보였다. 패치 토큰화가 어텐션 대상 시퀀스를 120에서 24로 줄이고 인코더 앞의 채널 축약이 채널 반복을 제거한 결과이며, 모수 1.4배 차이는 부차적이다. 같은 배율은 장비와 배치가 다른 조건에서도 재현된다 — &lt;Table 4&gt;를 얻은 캐글 GPU(배치 256, 혼합정밀도)에서 제안 모형 41.8초/epoch, TFT 원본 157.1초/epoch였다. 분위 GBDT는 이보다도 싸다.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검정구간 손실의 추가 개선(+4.95% 대 +3.45%)이다.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(Fig. 2)는 &lt;Table 4&gt;의 검증구간 정확도와 &lt;Table 5&gt;의 비용을 한 평면에 놓은 것이다. 지연시간만 보면 분위 헤드 모형이 더 왼쪽에 있으나, 정확도와 비용을 함께 보면 세 트랜스포머 모형 가운데 제안 모형이 파레토 전선 위에 있다. 분위 GBDT는 검증 정확도가 같고 지연이 더 짧으므로 이 평면에서는 제안 모형보다 앞선다.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wordWrap w:val="0"/>
        <w:autoSpaceDE w:val="0"/>
        <w:autoSpaceDN w:val="0"/>
        <w:spacing w:after="40" w:before="0" w:line="288" w:lineRule="auto"/>
      </w:pPr>
      <w:r>
        <w:rPr>
          <w:rFonts w:ascii="Times New Roman" w:hAnsi="Times New Roman" w:eastAsia="중고딕"/>
          <w:b w:val="0"/>
          <w:i w:val="0"/>
          <w:sz w:val="17"/>
        </w:rPr>
        <w:t>Fig. 2. Forecast accuracy against inference cost. The vertical axis is the pinball improvement over the unconditional-quantile baseline on validation (&lt;Table 4&gt;), the horizontal axis is per-stock inference latency, and the marker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wordWrap w:val="0"/>
        <w:autoSpaceDE w:val="0"/>
        <w:autoSpaceDN w:val="0"/>
        <w:spacing w:after="60" w:before="0" w:line="300" w:lineRule="auto"/>
      </w:pPr>
      <w:r>
        <w:rPr>
          <w:rFonts w:ascii="Times New Roman" w:hAnsi="Times New Roman" w:eastAsia="중고딕"/>
          <w:b w:val="0"/>
          <w:i w:val="0"/>
          <w:sz w:val="18"/>
        </w:rPr>
        <w:t>5.3 기권 행태</w:t>
      </w:r>
    </w:p>
    <w:p>
      <w:pPr>
        <w:wordWrap w:val="0"/>
        <w:autoSpaceDE w:val="0"/>
        <w:autoSpaceDN w:val="0"/>
        <w:spacing w:after="80" w:before="0" w:line="341" w:lineRule="auto"/>
        <w:ind w:firstLine="180"/>
        <w:jc w:val="both"/>
      </w:pPr>
      <w:r>
        <w:rPr>
          <w:rFonts w:ascii="Times New Roman" w:hAnsi="Times New Roman" w:eastAsia="신명조"/>
          <w:b w:val="0"/>
          <w:i w:val="0"/>
          <w:sz w:val="18"/>
        </w:rPr>
        <w:t>네 분위 모형에 4.4절의 동일한 기권 규칙을 적용하고 검정구간 전체에서 집계하였다. 점 예측 모형은 임계할 폭이 없어 기권이 정의되지 않으므로 제외하였다.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6. Abstention on the test split (550 days, 106,490 windows), mean over five seeds with the standard deviation for TFT and the proposed model and a single run for the quantile GBDT. The threshold is the 95th percentile of the width distribution over the trailing 90 calendar days, pooled across all stocks; Q1 and Q4 are the lowest and highest quartiles of realized volatility at decision time. Pinball loss is reported separately for abstained and retained candidates</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Abstain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Q1</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abstained</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retained</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5.24 ± 0.32%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 ± 2.04%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8.02 ± 2.75%</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0.02127 ± 0.00171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0.01855 ± 0.00022</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5.36%</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0.02622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0.01765</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5.28 ± 0.13%</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 ± 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16.71 ± 0.41%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0.02584 ± 0.00104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0.01791 ± 0.00014</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5.91 ± 0.11%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0.21 ± 0.05%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20.07 ± 0.71%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0.02612 ± 0.00040</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0.01730 ± 0.00005</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머물러(셋 중 하나를 빼도 유지된다, 5.4절) 기권이 고변동 구간에 집중된다. 다만 예측 폭과 실현 변동의 상관 자체는 TFT 원본이 더 높았다(0.186 대 0.170). 기권이 고변동 구간에 더 몰리는 것과 폭이 변동을 더 잘 따라가는 것은 별개의 성질이다. 보류된 판단은 실제로 더 나빴다. 제안 모형이 기권한 예측의 핀볼 손실은 남긴 예측의 1.510 ± 0.023배이며, 날짜 단위로 짝지은 손실차의 </w:t>
      </w:r>
      <w:r>
        <w:rPr>
          <w:rFonts w:ascii="Times New Roman" w:hAnsi="Times New Roman" w:eastAsia="신명조"/>
          <w:b w:val="0"/>
          <w:i/>
          <w:sz w:val="18"/>
        </w:rPr>
        <w:t>t</w:t>
      </w:r>
      <w:r>
        <w:rPr>
          <w:rFonts w:ascii="Times New Roman" w:hAnsi="Times New Roman" w:eastAsia="신명조"/>
          <w:b w:val="0"/>
          <w:i w:val="0"/>
          <w:sz w:val="18"/>
        </w:rPr>
        <w:t xml:space="preserve"> 값은 19.41 ± 1.02이다. 반면 중앙값 부호의 방향 적중률은 기권 0.52 대 유지 0.52로 거의 같다 — 보류된 판단은 방향을 틀리기 쉬운 판단이 아니라 오차의 크기가 큰 판단이며, 이는 기권이 폭에 걸려 있다는 설계와 일치한다.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다만 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보류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기권율의 절대 수준을 정하는 임계값 분위는 검정구간을 참조하여 선택되었으므로 5.91%라는 값은 표본 밖 수치가 아니다. 다만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wordWrap w:val="0"/>
        <w:autoSpaceDE w:val="0"/>
        <w:autoSpaceDN w:val="0"/>
        <w:spacing w:after="60" w:before="0" w:line="300" w:lineRule="auto"/>
      </w:pPr>
      <w:r>
        <w:rPr>
          <w:rFonts w:ascii="Times New Roman" w:hAnsi="Times New Roman" w:eastAsia="중고딕"/>
          <w:b w:val="0"/>
          <w:i w:val="0"/>
          <w:sz w:val="18"/>
        </w:rPr>
        <w:t>5.4 구성요소 제거</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검정구간 핀볼 손실, 최상위 변동성 분위의 기권율, 기권율 6%에서 맞춘 통제군 대비 비 차이의 셋으로 정하였다.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7. Removing one component at a time (test split, mean over five seeds 42-46 with the standard deviation). The sign test counts the seeds on which the proposed model has the lower test loss. The last column is the difference between the abstained-to-retained loss ratio of the width rule and that of the trailing 20-day volatility control at a matched 6% abstention rate (Section 5.3)</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Variant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 pinball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Ours lower</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 abstain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Ratio gap at 6%</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0.017826 ± 0.000059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+4.95%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20.07 ± 0.71%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+0.064 ± 0.029</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VSN to linear merge</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0.117M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0.017837 ± 0.000078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+4.89%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19.90 ± 0.18%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+0.057 ± 0.007</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 macro cross-attention</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0.468M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0.017786 ± 0.000029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+5.16%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20.51 ± 0.46%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+0.080 ± 0.035</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No static context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0.456M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0.017797 ± 0.000010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20.18 ± 0.30%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+0.067 ± 0.021</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세 변형 모두 세 지표에서 제안 모형과 구별되지 않았다. 검정 손실의 Welch 검정은 </w:t>
      </w:r>
      <w:r>
        <w:rPr>
          <w:rFonts w:ascii="Times New Roman" w:hAnsi="Times New Roman" w:eastAsia="신명조"/>
          <w:b w:val="0"/>
          <w:i/>
          <w:sz w:val="18"/>
        </w:rPr>
        <w:t>p</w:t>
      </w:r>
      <w:r>
        <w:rPr>
          <w:rFonts w:ascii="Times New Roman" w:hAnsi="Times New Roman" w:eastAsia="신명조"/>
          <w:b w:val="0"/>
          <w:i w:val="0"/>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 제안 모형의 설정은 제거 실험 전에 고정하였으므로 본문의 비교는 변수선택망 판으로 유지하였으며, 실제 운용에서는 선형 합치기 변형이 같은 결과를 내는 더 가벼운 대안이다.</w:t>
      </w:r>
    </w:p>
    <w:p>
      <w:pPr>
        <w:wordWrap w:val="0"/>
        <w:autoSpaceDE w:val="0"/>
        <w:autoSpaceDN w:val="0"/>
        <w:spacing w:after="80" w:before="0" w:line="300" w:lineRule="auto"/>
      </w:pPr>
      <w:r>
        <w:rPr>
          <w:rFonts w:ascii="Times New Roman" w:hAnsi="Times New Roman" w:eastAsia="견고딕"/>
          <w:b/>
          <w:i w:val="0"/>
          <w:sz w:val="20"/>
        </w:rPr>
        <w:t>6. 결론 및 향후 연구</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헤드를 달고, 입력 채널을 인코더 앞에서 하나로 합쳐 인코더 실행 횟수를 1회로 줄였다. 예측 구간이 이례적으로 넓을 때 판단을 보류하는 기권 규칙도 함께 적용하였다. 코스피200 구성종목 201개의 일별 자료로 평가하여 다음 두 가지를 확인하였다.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첫째, 제안 모형은 TFT 원본보다 낮은 오차를 약 4분의 1의 비용으로 달성하였다. 다섯 번의 반복 실험을 짝지은 열 번의 비교 전부에서 제안 모형의 손실이 낮았고, 조기종료에 쓰이지 않은 검정구간에서는 날짜 단위 DM 검정도 다섯 시드 모두 유의하였다. 학습 시간은 3.8배, 종목당 추론 시간은 4.8배 짧았고, 활성값 메모리는 5.1배 적었다. 다만 분위 GBDT는 이보다도 싸며, 제안 모형이 GBDT보다 나은 점은 비용이 아니라 검정구간 손실이다(+4.95% 대 +3.45%, 다섯 시드 모두 GBDT보다 낮음). 둘째, 예측 구간이 시장 변동성에 반응하여 판단 보류가 변동성이 큰 시기에 집중되었다. 보류된 예측은 실행된 예측보다 오차가 약 1.5배 컸고, 기권율을 맞춘 비교에서도 최근 변동성만 보고 보류하는 단순 규칙보다 큰 오차를 더 잘 걸러냈다. 다만 분위 GBDT도 같은 비교에서 대등한 보류 품질을 보였으므로 이 성질은 트랜스포머 구조에 고유하지 않다. 하나의 예측값만 내는 기존 패치 기반 모형으로는 이러한 판단 보류 자체를 할 수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평가는 평가 기간 자료가 입력 설계와 기권 기준 선택에 일부 참고되었고, 현재 시점의 구성종목으로 유니버스를 정하였으므로 완전한 사후 검증은 아니다. 또한 변수선택망, 정적 문맥, 매크로 크로스어텐션은 하나씩 제거해도 결과가 달라지지 않아, 개선이 인코더 앞 채널 축약 구조 자체에서 오는지 구성요소 간 대체에서 오는지 가리지 못하였다(5.4절). 예측 구간의 절대 포함률은 명목 80%보다 낮았고(71.6%), 검증구간에서 맞춘 CQR[13] 보정 후에도 73.9%에 그쳐 구간 자체를 신뢰구간으로 해석해서는 안 된다. 보정은 폭의 순위를 바꾸지 않으므로 기권 결과에는 영향이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결과는 과거 자료에 대한 평가이며 투자 권유를 의도하지 않는다. 향후 연구에서는 구성요소를 둘 이상 함께 제거하는 실험으로 개선의 출처를 가리고, 비교 이후 새로 쌓인 자료를 평가에 쓰지 않은 구간으로 두어 여러 시장 국면에서 다시 검증한다.</w:t>
      </w:r>
    </w:p>
    <w:p>
      <w:pPr>
        <w:wordWrap w:val="0"/>
        <w:autoSpaceDE w:val="0"/>
        <w:autoSpaceDN w:val="0"/>
        <w:spacing w:after="80" w:before="0" w:line="300" w:lineRule="auto"/>
      </w:pPr>
      <w:r>
        <w:rPr>
          <w:rFonts w:ascii="Times New Roman" w:hAnsi="Times New Roman" w:eastAsia="견고딕"/>
          <w:b/>
          <w:i w:val="0"/>
          <w:sz w:val="20"/>
        </w:rPr>
        <w:t>References</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 O. B. Sezer, M. U. Gudelek, and A. M. Ozbayoglu, "Financial time series forecasting with deep learning: A systematic literature review: 2005-2019," </w:t>
      </w:r>
      <w:r>
        <w:rPr>
          <w:rFonts w:ascii="Times New Roman" w:hAnsi="Times New Roman" w:eastAsia="신명조"/>
          <w:b w:val="0"/>
          <w:i/>
          <w:sz w:val="17"/>
        </w:rPr>
        <w:t>Applied Soft Computing</w:t>
      </w:r>
      <w:r>
        <w:rPr>
          <w:rFonts w:ascii="Times New Roman" w:hAnsi="Times New Roman" w:eastAsia="신명조"/>
          <w:b w:val="0"/>
          <w:i w:val="0"/>
          <w:sz w:val="17"/>
        </w:rPr>
        <w:t>, Vol.90, 106181, 2020.</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 T. S. Kim and S. Lee, "Deep learning-based stock fluctuation prediction according to overseas indices and trading trends,"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Vol.10, No.9, pp.367-374,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[3] A. Vaswani et al., "Attention is all you need,"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pp.5998-6008, 2017.</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[4] H. Zhou et al., "Informer: Beyond efficient transformer for long sequence time-series forecasting," in </w:t>
      </w:r>
      <w:r>
        <w:rPr>
          <w:rFonts w:ascii="Times New Roman" w:hAnsi="Times New Roman" w:eastAsia="신명조"/>
          <w:b w:val="0"/>
          <w:i/>
          <w:sz w:val="17"/>
        </w:rPr>
        <w:t>Proceedings of the AAAI Conference on Artificial Intelligence</w:t>
      </w:r>
      <w:r>
        <w:rPr>
          <w:rFonts w:ascii="Times New Roman" w:hAnsi="Times New Roman" w:eastAsia="신명조"/>
          <w:b w:val="0"/>
          <w:i w:val="0"/>
          <w:sz w:val="17"/>
        </w:rPr>
        <w:t>, pp.11106-11115,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[5] H. Wu, J. Xu, J. Wang, and M. Long, "Autoformer: Decomposition transformers with auto-correlation for long-term series forecasting,"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pp.22419-22430,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[6] A. Zeng, M. Chen, L. Zhang, and Q. Xu, "Are transformers effective for time series forecasting?," in </w:t>
      </w:r>
      <w:r>
        <w:rPr>
          <w:rFonts w:ascii="Times New Roman" w:hAnsi="Times New Roman" w:eastAsia="신명조"/>
          <w:b w:val="0"/>
          <w:i/>
          <w:sz w:val="17"/>
        </w:rPr>
        <w:t>Proceedings of the AAAI Conference on Artificial Intelligence</w:t>
      </w:r>
      <w:r>
        <w:rPr>
          <w:rFonts w:ascii="Times New Roman" w:hAnsi="Times New Roman" w:eastAsia="신명조"/>
          <w:b w:val="0"/>
          <w:i w:val="0"/>
          <w:sz w:val="17"/>
        </w:rPr>
        <w:t>, pp.11121-11128, 2023.</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[7] Y. Nie, N. H. Nguyen, P. Sinthong, and J. Kalagnanam, "A time series is worth 64 words: Long-term forecasting with transformers," in </w:t>
      </w:r>
      <w:r>
        <w:rPr>
          <w:rFonts w:ascii="Times New Roman" w:hAnsi="Times New Roman" w:eastAsia="신명조"/>
          <w:b w:val="0"/>
          <w:i/>
          <w:sz w:val="17"/>
        </w:rPr>
        <w:t>Proceedings of the International Conference on Learning Representations</w:t>
      </w:r>
      <w:r>
        <w:rPr>
          <w:rFonts w:ascii="Times New Roman" w:hAnsi="Times New Roman" w:eastAsia="신명조"/>
          <w:b w:val="0"/>
          <w:i w:val="0"/>
          <w:sz w:val="17"/>
        </w:rPr>
        <w:t>, 2023.</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[8] B. Lim, S. O. Arik, N. Loeff, and T. Pfister, "Temporal fusion transformers for interpretable multi-horizon time series forecasting," </w:t>
      </w:r>
      <w:r>
        <w:rPr>
          <w:rFonts w:ascii="Times New Roman" w:hAnsi="Times New Roman" w:eastAsia="신명조"/>
          <w:b w:val="0"/>
          <w:i/>
          <w:sz w:val="17"/>
        </w:rPr>
        <w:t>International Journal of Forecasting</w:t>
      </w:r>
      <w:r>
        <w:rPr>
          <w:rFonts w:ascii="Times New Roman" w:hAnsi="Times New Roman" w:eastAsia="신명조"/>
          <w:b w:val="0"/>
          <w:i w:val="0"/>
          <w:sz w:val="17"/>
        </w:rPr>
        <w:t>, Vol.37, No.4, pp.1748-1764,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[9] I. K. Kim, D. H. Kim, and J. Lee, "Temporal fusion transformers and deep learning methods for multi-horizon time series forecasting,"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Vol.11, No.2, pp.81-86, 2022.</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[10] D.-K. Kim and K. Kim, "Style-based transformer for time series forecasting,"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Vol.10, No.12, pp.579-586,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[11] T. Kim, J. Kim, Y. Tae, C. Park, J.-H. Choi, and J. Choo, "Reversible instance normalization for accurate time-series forecasting against distribution shift," in </w:t>
      </w:r>
      <w:r>
        <w:rPr>
          <w:rFonts w:ascii="Times New Roman" w:hAnsi="Times New Roman" w:eastAsia="신명조"/>
          <w:b w:val="0"/>
          <w:i/>
          <w:sz w:val="17"/>
        </w:rPr>
        <w:t>Proceedings of the International Conference on Learning Representations</w:t>
      </w:r>
      <w:r>
        <w:rPr>
          <w:rFonts w:ascii="Times New Roman" w:hAnsi="Times New Roman" w:eastAsia="신명조"/>
          <w:b w:val="0"/>
          <w:i w:val="0"/>
          <w:sz w:val="17"/>
        </w:rPr>
        <w:t>, 2022.</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[12] R. Koenker and G. Bassett, "Regression quantiles," </w:t>
      </w:r>
      <w:r>
        <w:rPr>
          <w:rFonts w:ascii="Times New Roman" w:hAnsi="Times New Roman" w:eastAsia="신명조"/>
          <w:b w:val="0"/>
          <w:i/>
          <w:sz w:val="17"/>
        </w:rPr>
        <w:t>Econometrica</w:t>
      </w:r>
      <w:r>
        <w:rPr>
          <w:rFonts w:ascii="Times New Roman" w:hAnsi="Times New Roman" w:eastAsia="신명조"/>
          <w:b w:val="0"/>
          <w:i w:val="0"/>
          <w:sz w:val="17"/>
        </w:rPr>
        <w:t>, Vol.46, No.1, pp.33-50, 1978.</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[13] Y. Romano, E. Patterson, and E. J. Candes, "Conformalized quantile regression,"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pp.3543-3553, 2019.</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[14] T. Fischer and C. Krauss, "Deep learning with long short-term memory networks for financial market predictions," </w:t>
      </w:r>
      <w:r>
        <w:rPr>
          <w:rFonts w:ascii="Times New Roman" w:hAnsi="Times New Roman" w:eastAsia="신명조"/>
          <w:b w:val="0"/>
          <w:i/>
          <w:sz w:val="17"/>
        </w:rPr>
        <w:t>European Journal of Operational Research</w:t>
      </w:r>
      <w:r>
        <w:rPr>
          <w:rFonts w:ascii="Times New Roman" w:hAnsi="Times New Roman" w:eastAsia="신명조"/>
          <w:b w:val="0"/>
          <w:i w:val="0"/>
          <w:sz w:val="17"/>
        </w:rPr>
        <w:t>, Vol.270, No.2, pp.654-669, 2018.</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[15] S. Gu, B. Kelly, and D. Xiu, "Empirical asset pricing via machine learning," </w:t>
      </w:r>
      <w:r>
        <w:rPr>
          <w:rFonts w:ascii="Times New Roman" w:hAnsi="Times New Roman" w:eastAsia="신명조"/>
          <w:b w:val="0"/>
          <w:i/>
          <w:sz w:val="17"/>
        </w:rPr>
        <w:t>The Review of Financial Studies</w:t>
      </w:r>
      <w:r>
        <w:rPr>
          <w:rFonts w:ascii="Times New Roman" w:hAnsi="Times New Roman" w:eastAsia="신명조"/>
          <w:b w:val="0"/>
          <w:i w:val="0"/>
          <w:sz w:val="17"/>
        </w:rPr>
        <w:t>, Vol.33, No.5, pp.2223-2273, 2020.</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[16] H. J. Kim and Y. S. Jung, "A stock price prediction based on recurrent convolution neural network with weighted loss function,"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Vol.8, No.3, pp.123-128, 2019.</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[17] Y. Wang et al., "TimeXer: Empowering transformers for time series forecasting with exogenous variables,"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2024.</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[18] G. Ke et al., "LightGBM: A highly efficient gradient boosting decision tree,"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pp.3146-3154, 2017.</w:t>
      </w: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박 성 준</w:t>
            </w:r>
          </w:p>
          <w:p>
            <w:pPr>
              <w:wordWrap w:val="0"/>
              <w:autoSpaceDE w:val="0"/>
              <w:autoSpaceDN w:val="0"/>
              <w:spacing w:after="20" w:before="0" w:line="300" w:lineRule="auto"/>
            </w:pPr>
            <w:r>
              <w:rPr>
                <w:rFonts w:ascii="Times New Roman" w:hAnsi="Times New Roman" w:eastAsia="신명조"/>
                <w:b w:val="0"/>
                <w:i w:val="0"/>
                <w:sz w:val="17"/>
              </w:rPr>
              <w:t>https://orcid.org/0009-0004-9626-5165</w:t>
            </w:r>
          </w:p>
          <w:p>
            <w:pPr>
              <w:wordWrap w:val="0"/>
              <w:autoSpaceDE w:val="0"/>
              <w:autoSpaceDN w:val="0"/>
              <w:spacing w:after="20" w:before="0" w:line="300" w:lineRule="auto"/>
            </w:pPr>
            <w:r>
              <w:rPr>
                <w:rFonts w:ascii="Times New Roman" w:hAnsi="Times New Roman" w:eastAsia="신명조"/>
                <w:b w:val="0"/>
                <w:i w:val="0"/>
                <w:sz w:val="17"/>
              </w:rPr>
              <w:t>e-mail : appop001@naver.com</w:t>
            </w:r>
          </w:p>
          <w:p>
            <w:pPr>
              <w:wordWrap w:val="0"/>
              <w:autoSpaceDE w:val="0"/>
              <w:autoSpaceDN w:val="0"/>
              <w:spacing w:after="20" w:before="0" w:line="300" w:lineRule="auto"/>
            </w:pPr>
            <w:r>
              <w:rPr>
                <w:rFonts w:ascii="Times New Roman" w:hAnsi="Times New Roman" w:eastAsia="신명조"/>
                <w:b w:val="0"/>
                <w:i w:val="0"/>
                <w:sz w:val="17"/>
              </w:rPr>
              <w:t>2021년～현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김 지 민</w:t>
            </w:r>
          </w:p>
          <w:p>
            <w:pPr>
              <w:wordWrap w:val="0"/>
              <w:autoSpaceDE w:val="0"/>
              <w:autoSpaceDN w:val="0"/>
              <w:spacing w:after="20" w:before="0" w:line="300" w:lineRule="auto"/>
            </w:pPr>
            <w:r>
              <w:rPr>
                <w:rFonts w:ascii="Times New Roman" w:hAnsi="Times New Roman" w:eastAsia="신명조"/>
                <w:b w:val="0"/>
                <w:i w:val="0"/>
                <w:sz w:val="17"/>
              </w:rPr>
              <w:t>https://orcid.org/0009-0004-4645-227X</w:t>
            </w:r>
          </w:p>
          <w:p>
            <w:pPr>
              <w:wordWrap w:val="0"/>
              <w:autoSpaceDE w:val="0"/>
              <w:autoSpaceDN w:val="0"/>
              <w:spacing w:after="20" w:before="0" w:line="300" w:lineRule="auto"/>
            </w:pPr>
            <w:r>
              <w:rPr>
                <w:rFonts w:ascii="Times New Roman" w:hAnsi="Times New Roman" w:eastAsia="신명조"/>
                <w:b w:val="0"/>
                <w:i w:val="0"/>
                <w:sz w:val="17"/>
              </w:rPr>
              <w:t>e-mail : bckck@naver.com</w:t>
            </w:r>
          </w:p>
          <w:p>
            <w:pPr>
              <w:wordWrap w:val="0"/>
              <w:autoSpaceDE w:val="0"/>
              <w:autoSpaceDN w:val="0"/>
              <w:spacing w:after="20" w:before="0" w:line="300" w:lineRule="auto"/>
            </w:pPr>
            <w:r>
              <w:rPr>
                <w:rFonts w:ascii="Times New Roman" w:hAnsi="Times New Roman" w:eastAsia="신명조"/>
                <w:b w:val="0"/>
                <w:i w:val="0"/>
                <w:sz w:val="17"/>
              </w:rPr>
              <w:t>2020년～현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Deep Learning, Financial Time-Series Analysis, Uncertainty Estimation</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권 오 재</w:t>
            </w:r>
          </w:p>
          <w:p>
            <w:pPr>
              <w:wordWrap w:val="0"/>
              <w:autoSpaceDE w:val="0"/>
              <w:autoSpaceDN w:val="0"/>
              <w:spacing w:after="20" w:before="0" w:line="300" w:lineRule="auto"/>
            </w:pPr>
            <w:r>
              <w:rPr>
                <w:rFonts w:ascii="Times New Roman" w:hAnsi="Times New Roman" w:eastAsia="신명조"/>
                <w:b w:val="0"/>
                <w:i w:val="0"/>
                <w:sz w:val="17"/>
              </w:rPr>
              <w:t>https://orcid.org/0009-0002-9537-5317</w:t>
            </w:r>
          </w:p>
          <w:p>
            <w:pPr>
              <w:wordWrap w:val="0"/>
              <w:autoSpaceDE w:val="0"/>
              <w:autoSpaceDN w:val="0"/>
              <w:spacing w:after="20" w:before="0" w:line="300" w:lineRule="auto"/>
            </w:pPr>
            <w:r>
              <w:rPr>
                <w:rFonts w:ascii="Times New Roman" w:hAnsi="Times New Roman" w:eastAsia="신명조"/>
                <w:b w:val="0"/>
                <w:i w:val="0"/>
                <w:sz w:val="17"/>
              </w:rPr>
              <w:t>e-mail : rnjsdhwo4@naver.com</w:t>
            </w:r>
          </w:p>
          <w:p>
            <w:pPr>
              <w:wordWrap w:val="0"/>
              <w:autoSpaceDE w:val="0"/>
              <w:autoSpaceDN w:val="0"/>
              <w:spacing w:after="20" w:before="0" w:line="300" w:lineRule="auto"/>
            </w:pPr>
            <w:r>
              <w:rPr>
                <w:rFonts w:ascii="Times New Roman" w:hAnsi="Times New Roman" w:eastAsia="신명조"/>
                <w:b w:val="0"/>
                <w:i w:val="0"/>
                <w:sz w:val="17"/>
              </w:rPr>
              <w:t>2021년～현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Machine Learning, Time-Series Forecasting, Quantitative Finance</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송 하 얼</w:t>
            </w:r>
          </w:p>
          <w:p>
            <w:pPr>
              <w:wordWrap w:val="0"/>
              <w:autoSpaceDE w:val="0"/>
              <w:autoSpaceDN w:val="0"/>
              <w:spacing w:after="20" w:before="0" w:line="300" w:lineRule="auto"/>
            </w:pPr>
            <w:r>
              <w:rPr>
                <w:rFonts w:ascii="Times New Roman" w:hAnsi="Times New Roman" w:eastAsia="신명조"/>
                <w:b w:val="0"/>
                <w:i w:val="0"/>
                <w:sz w:val="17"/>
              </w:rPr>
              <w:t>https://orcid.org/0009-0007-5429-4154</w:t>
            </w:r>
          </w:p>
          <w:p>
            <w:pPr>
              <w:wordWrap w:val="0"/>
              <w:autoSpaceDE w:val="0"/>
              <w:autoSpaceDN w:val="0"/>
              <w:spacing w:after="20" w:before="0" w:line="300" w:lineRule="auto"/>
            </w:pPr>
            <w:r>
              <w:rPr>
                <w:rFonts w:ascii="Times New Roman" w:hAnsi="Times New Roman" w:eastAsia="신명조"/>
                <w:b w:val="0"/>
                <w:i w:val="0"/>
                <w:sz w:val="17"/>
              </w:rPr>
              <w:t>e-mail : haeolsong@gmail.com</w:t>
            </w:r>
          </w:p>
          <w:p>
            <w:pPr>
              <w:wordWrap w:val="0"/>
              <w:autoSpaceDE w:val="0"/>
              <w:autoSpaceDN w:val="0"/>
              <w:spacing w:after="20" w:before="0" w:line="300" w:lineRule="auto"/>
            </w:pPr>
            <w:r>
              <w:rPr>
                <w:rFonts w:ascii="Times New Roman" w:hAnsi="Times New Roman" w:eastAsia="신명조"/>
                <w:b w:val="0"/>
                <w:i w:val="0"/>
                <w:sz w:val="17"/>
              </w:rPr>
              <w:t>2023년～현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Deep Learning, Transformer Models, Data Analysis</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300" w:lineRule="auto"/>
            </w:pPr>
            <w:r>
              <w:rPr>
                <w:rFonts w:ascii="Times New Roman" w:hAnsi="Times New Roman" w:eastAsia="신명조"/>
                <w:b w:val="0"/>
                <w:i w:val="0"/>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서 정 일</w:t>
            </w:r>
          </w:p>
          <w:p>
            <w:pPr>
              <w:wordWrap w:val="0"/>
              <w:autoSpaceDE w:val="0"/>
              <w:autoSpaceDN w:val="0"/>
              <w:spacing w:after="20" w:before="0" w:line="300" w:lineRule="auto"/>
            </w:pPr>
            <w:r>
              <w:rPr>
                <w:rFonts w:ascii="Times New Roman" w:hAnsi="Times New Roman" w:eastAsia="신명조"/>
                <w:b w:val="0"/>
                <w:i w:val="0"/>
                <w:sz w:val="17"/>
              </w:rPr>
              <w:t>https://orcid.org/0000-0000-0000-0000</w:t>
            </w:r>
          </w:p>
          <w:p>
            <w:pPr>
              <w:wordWrap w:val="0"/>
              <w:autoSpaceDE w:val="0"/>
              <w:autoSpaceDN w:val="0"/>
              <w:spacing w:after="20" w:before="0" w:line="300" w:lineRule="auto"/>
            </w:pPr>
            <w:r>
              <w:rPr>
                <w:rFonts w:ascii="Times New Roman" w:hAnsi="Times New Roman" w:eastAsia="신명조"/>
                <w:b w:val="0"/>
                <w:i w:val="0"/>
                <w:sz w:val="17"/>
              </w:rPr>
              <w:t>e-mail : jeongilseo@dau.ac.kr</w:t>
            </w:r>
          </w:p>
          <w:p>
            <w:pPr>
              <w:wordWrap w:val="0"/>
              <w:autoSpaceDE w:val="0"/>
              <w:autoSpaceDN w:val="0"/>
              <w:spacing w:after="20" w:before="0" w:line="300" w:lineRule="auto"/>
            </w:pPr>
            <w:r>
              <w:rPr>
                <w:rFonts w:ascii="Times New Roman" w:hAnsi="Times New Roman" w:eastAsia="신명조"/>
                <w:b w:val="0"/>
                <w:i w:val="0"/>
                <w:sz w:val="17"/>
              </w:rPr>
              <w:t>20○○년 ○○대학교 ○○학과(학사)</w:t>
            </w:r>
          </w:p>
          <w:p>
            <w:pPr>
              <w:wordWrap w:val="0"/>
              <w:autoSpaceDE w:val="0"/>
              <w:autoSpaceDN w:val="0"/>
              <w:spacing w:after="20" w:before="0" w:line="300" w:lineRule="auto"/>
            </w:pPr>
            <w:r>
              <w:rPr>
                <w:rFonts w:ascii="Times New Roman" w:hAnsi="Times New Roman" w:eastAsia="신명조"/>
                <w:b w:val="0"/>
                <w:i w:val="0"/>
                <w:sz w:val="17"/>
              </w:rPr>
              <w:t>20○○년 ○○대학교 ○○학과(석·박사)</w:t>
            </w:r>
          </w:p>
          <w:p>
            <w:pPr>
              <w:wordWrap w:val="0"/>
              <w:autoSpaceDE w:val="0"/>
              <w:autoSpaceDN w:val="0"/>
              <w:spacing w:after="20" w:before="0" w:line="300" w:lineRule="auto"/>
            </w:pPr>
            <w:r>
              <w:rPr>
                <w:rFonts w:ascii="Times New Roman" w:hAnsi="Times New Roman" w:eastAsia="신명조"/>
                <w:b w:val="0"/>
                <w:i w:val="0"/>
                <w:sz w:val="17"/>
              </w:rPr>
              <w:t>20○○년～현  재 동아대학교 컴퓨터공학과 부교수</w:t>
            </w:r>
          </w:p>
          <w:p>
            <w:pPr>
              <w:wordWrap w:val="0"/>
              <w:autoSpaceDE w:val="0"/>
              <w:autoSpaceDN w:val="0"/>
              <w:spacing w:after="20" w:before="0" w:line="300" w:lineRule="auto"/>
            </w:pPr>
            <w:r>
              <w:rPr>
                <w:rFonts w:ascii="Times New Roman" w:hAnsi="Times New Roman" w:eastAsia="신명조"/>
                <w:b w:val="0"/>
                <w:i w:val="0"/>
                <w:sz w:val="17"/>
              </w:rPr>
              <w:t>관심분야 :</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300" w:lineRule="auto"/>
            </w:pPr>
            <w:r>
              <w:rPr>
                <w:rFonts w:ascii="Times New Roman" w:hAnsi="Times New Roman" w:eastAsia="신명조"/>
                <w:b w:val="0"/>
                <w:i w:val="0"/>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유 주 한</w:t>
            </w:r>
          </w:p>
          <w:p>
            <w:pPr>
              <w:wordWrap w:val="0"/>
              <w:autoSpaceDE w:val="0"/>
              <w:autoSpaceDN w:val="0"/>
              <w:spacing w:after="20" w:before="0" w:line="300" w:lineRule="auto"/>
            </w:pPr>
            <w:r>
              <w:rPr>
                <w:rFonts w:ascii="Times New Roman" w:hAnsi="Times New Roman" w:eastAsia="신명조"/>
                <w:b w:val="0"/>
                <w:i w:val="0"/>
                <w:sz w:val="17"/>
              </w:rPr>
              <w:t>https://orcid.org/0000-0000-0000-0000</w:t>
            </w:r>
          </w:p>
          <w:p>
            <w:pPr>
              <w:wordWrap w:val="0"/>
              <w:autoSpaceDE w:val="0"/>
              <w:autoSpaceDN w:val="0"/>
              <w:spacing w:after="20" w:before="0" w:line="300" w:lineRule="auto"/>
            </w:pPr>
            <w:r>
              <w:rPr>
                <w:rFonts w:ascii="Times New Roman" w:hAnsi="Times New Roman" w:eastAsia="신명조"/>
                <w:b w:val="0"/>
                <w:i w:val="0"/>
                <w:sz w:val="17"/>
              </w:rPr>
              <w:t>e-mail : unchinto@dau.ac.kr</w:t>
            </w:r>
          </w:p>
          <w:p>
            <w:pPr>
              <w:wordWrap w:val="0"/>
              <w:autoSpaceDE w:val="0"/>
              <w:autoSpaceDN w:val="0"/>
              <w:spacing w:after="20" w:before="0" w:line="300" w:lineRule="auto"/>
            </w:pPr>
            <w:r>
              <w:rPr>
                <w:rFonts w:ascii="Times New Roman" w:hAnsi="Times New Roman" w:eastAsia="신명조"/>
                <w:b w:val="0"/>
                <w:i w:val="0"/>
                <w:sz w:val="17"/>
              </w:rPr>
              <w:t>20○○년 ○○대학교 ○○학과(학사)</w:t>
            </w:r>
          </w:p>
          <w:p>
            <w:pPr>
              <w:wordWrap w:val="0"/>
              <w:autoSpaceDE w:val="0"/>
              <w:autoSpaceDN w:val="0"/>
              <w:spacing w:after="20" w:before="0" w:line="300" w:lineRule="auto"/>
            </w:pPr>
            <w:r>
              <w:rPr>
                <w:rFonts w:ascii="Times New Roman" w:hAnsi="Times New Roman" w:eastAsia="신명조"/>
                <w:b w:val="0"/>
                <w:i w:val="0"/>
                <w:sz w:val="17"/>
              </w:rPr>
              <w:t>20○○년 ○○대학교 ○○학과(석·박사)</w:t>
            </w:r>
          </w:p>
          <w:p>
            <w:pPr>
              <w:wordWrap w:val="0"/>
              <w:autoSpaceDE w:val="0"/>
              <w:autoSpaceDN w:val="0"/>
              <w:spacing w:after="20" w:before="0" w:line="300" w:lineRule="auto"/>
            </w:pPr>
            <w:r>
              <w:rPr>
                <w:rFonts w:ascii="Times New Roman" w:hAnsi="Times New Roman" w:eastAsia="신명조"/>
                <w:b w:val="0"/>
                <w:i w:val="0"/>
                <w:sz w:val="17"/>
              </w:rPr>
              <w:t>20○○년～현  재 동아대학교 컴퓨터공학과 조교수</w:t>
            </w:r>
          </w:p>
          <w:p>
            <w:pPr>
              <w:wordWrap w:val="0"/>
              <w:autoSpaceDE w:val="0"/>
              <w:autoSpaceDN w:val="0"/>
              <w:spacing w:after="20" w:before="0" w:line="300" w:lineRule="auto"/>
            </w:pPr>
            <w:r>
              <w:rPr>
                <w:rFonts w:ascii="Times New Roman" w:hAnsi="Times New Roman" w:eastAsia="신명조"/>
                <w:b w:val="0"/>
                <w:i w:val="0"/>
                <w:sz w:val="17"/>
              </w:rPr>
              <w:t>관심분야 :</w:t>
            </w:r>
          </w:p>
        </w:tc>
      </w:tr>
    </w:tbl>
    <w:p>
      <w:pPr>
        <w:spacing w:after="80"/>
      </w:pPr>
    </w:p>
    <w:sectPr w:rsidR="00FC693F" w:rsidRPr="0006063C" w:rsidSect="00034616">
      <w:type w:val="continuous"/>
      <w:pgSz w:w="11906" w:h="16838"/>
      <w:pgMar w:top="1446" w:right="1134" w:bottom="879" w:left="1134" w:header="567" w:footer="567"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