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quantile (pinball) loss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A quantile gradient-boosting baseline fitted on the same windows was cheaper still and abstained just as well, so what the proposed model gains over it is accuracy rather than cost. Point accuracy at the median matches a constant baseline, so the model adds not a sharper forecast but a signal of when not to act on one.</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분위 손실을 보이면서 학습은 3.8배, 추론은 4.8배 빨랐다. 기권은 변동성이 큰 시기에 집중되었으며, 기권한 예측의 오차는 실행된 예측의 약 1.5배였다. 이는 최근 변동성만 보고 기권하는 단순 규칙보다 큰 오차를 더 잘 걸러낸 결과이다. 같은 표본으로 학습한 분위 그래디언트 부스팅 기준모형은 계산 비용이 더 낮고 기권 품질도 대등하였으므로, 제안 모형이 그 기준모형보다 나은 점은 비용이 아니라 정확도이다. 중앙값의 점 예측 정확도는 상수 기준선과 다르지 않으므로, 제안 모형이 더하는 것은 더 정확한 예측값이 아니라 그 예측에 따라 움직이지 말아야 할 시점이다.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기권</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 비용이 낮아야 하고, 실질적 독립 사건이 적은 자료라 모형을 키울 수도 없다. 분위 예측을 제공하는 Temporal Fusion Transformer(TFT)는 모든 시점에서 어텐션을 수행하므로 이 제약과 충돌한다.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이에 대한 본 연구의 기여는 세 가지이다. 첫째, 채널 축을 인코더 앞에서 하나로 합쳐 분위 예측 트랜스포머의 학습·추론 비용을 TFT의 약 4분의 1로 낮추면서 예측 손실은 더 낮추었다. 둘째, 예측 구간의 폭을 기준으로 한 기권이 최근 변동성만 쓰는 규칙보다 큰 오차를 더 잘 걸러낸다는 것을, 기권율을 맞춘 비교로 보였다. 셋째, 같은 분할과 같은 윈도우 표본 위에서 무조건부 분위수 상수와 분위 그래디언트 부스팅을 함께 측정하여, 구조에서 오는 이득과 그렇지 않은 부분을 구분하였다.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패치 기반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AppleMyungjo"/>
          <w:b w:val="0"/>
          <w:i/>
          <w:spacing w:val="-5"/>
          <w:w w:val="100"/>
          <w:sz w:val="18"/>
        </w:rPr>
        <w:t>L</w:t>
      </w:r>
      <w:r>
        <w:rPr>
          <w:rFonts w:ascii="Times New Roman" w:hAnsi="Times New Roman" w:eastAsia="AppleMyungjo"/>
          <w:b w:val="0"/>
          <w:i w:val="0"/>
          <w:spacing w:val="-5"/>
          <w:w w:val="100"/>
          <w:sz w:val="18"/>
        </w:rPr>
        <w:t>의 입력을 ⌈</w:t>
      </w:r>
      <w:r>
        <w:rPr>
          <w:rFonts w:ascii="Times New Roman" w:hAnsi="Times New Roman" w:eastAsia="AppleMyungjo"/>
          <w:b w:val="0"/>
          <w:i/>
          <w:spacing w:val="-5"/>
          <w:w w:val="100"/>
          <w:sz w:val="18"/>
        </w:rPr>
        <w:t>L</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S</w:t>
      </w:r>
      <w:r>
        <w:rPr>
          <w:rFonts w:ascii="Times New Roman" w:hAnsi="Times New Roman" w:eastAsia="AppleMyungjo"/>
          <w:b w:val="0"/>
          <w:i w:val="0"/>
          <w:spacing w:val="-5"/>
          <w:w w:val="10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keepNext/>
        <w:autoSpaceDE w:val="0"/>
        <w:autoSpaceDN w:val="0"/>
        <w:spacing w:after="20" w:before="0" w:line="280" w:lineRule="exact"/>
      </w:pPr>
      <w:r>
        <w:rPr>
          <w:rFonts w:ascii="Times New Roman" w:hAnsi="Times New Roman" w:eastAsia="Apple SD Gothic Neo"/>
          <w:b/>
          <w:i w:val="0"/>
          <w:spacing w:val="-9"/>
          <w:w w:val="95"/>
          <w:sz w:val="18"/>
        </w:rPr>
        <w:t>2.2 분위 예측과 변수선택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채택하지 않았다.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keepNext/>
        <w:autoSpaceDE w:val="0"/>
        <w:autoSpaceDN w:val="0"/>
        <w:spacing w:after="20" w:before="0" w:line="280" w:lineRule="exact"/>
      </w:pPr>
      <w:r>
        <w:rPr>
          <w:rFonts w:ascii="Times New Roman" w:hAnsi="Times New Roman" w:eastAsia="Apple SD Gothic Neo"/>
          <w:b/>
          <w:i w:val="0"/>
          <w:spacing w:val="-9"/>
          <w:w w:val="95"/>
          <w:sz w:val="18"/>
        </w:rPr>
        <w:t>2.3 분포 이동 정규화와 분위 회귀</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RevIN(reversible instance normalization)[11]은 입력 윈도우별 인스턴스 정규화를 적용하고 출력에서 역변환한다. 종목과 시대에 따라 가격 수준의 의미가 달라지는 자료에서는 선택 사항이 아니라 필수 요소이다. 본 연구는 이를 선별적으로 적용하였다. 횡단면 순위 채널은 정보가 전적으로 수준에 담겨 있어 윈도우 내 표준화가 그 정보를 소거하기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분위회귀[12]를 신경망 출력에 적용한 것이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2.4 선택적 예측과 기권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모형이 일부 입력에 대해 답을 내지 않는 선택지는 기각 옵션(reject option)으로 형식화되어 있다[14]. 오분류 비용과 기각 비용의 교환관계로 최적 기각 영역을 정의한 이 틀은 이후 선택적 예측(selective prediction)으로 일반화되어, 적용률과 적용된 표본에서의 위험을 함께 보고하는 평가 방식으로 자리잡았고[15], 심층 신경망에서는 선택 함수를 별도 헤드로 학습하는 방법이 제안되었다[16]. 본 연구의 기권은 이들과 두 가지 점에서 다르다. 첫째, 분류가 아니라 회귀이므로 선택 점수가 확률이 아니라 예측 구간의 폭이다. 둘째, 선택 함수를 따로 학습하지 않고 이미 산출된 분위 예측에서 파생되므로 모형에 추가 비용이 들지 않는다. 대신 기권율이 학습으로 최적화되지 않고 임계값으로 정해지므로, 임계값 선택이 결과에 미치는 영향을 5.3절에서 따로 확인한다.</w:t>
      </w:r>
    </w:p>
    <w:p>
      <w:pPr>
        <w:keepNext/>
        <w:autoSpaceDE w:val="0"/>
        <w:autoSpaceDN w:val="0"/>
        <w:spacing w:after="20" w:before="0" w:line="280" w:lineRule="exact"/>
      </w:pPr>
      <w:r>
        <w:rPr>
          <w:rFonts w:ascii="Times New Roman" w:hAnsi="Times New Roman" w:eastAsia="Apple SD Gothic Neo"/>
          <w:b/>
          <w:i w:val="0"/>
          <w:spacing w:val="-9"/>
          <w:w w:val="95"/>
          <w:sz w:val="18"/>
        </w:rPr>
        <w:t>2.5 기준 모형과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1장에서 언급한 금융 시계열 딥러닝 연구[1] 가운데, 장단기기억 신경망으로 미국 주식의 방향을 예측한 연구[17]와 다수의 머신러닝 기법을 자산가격 결정에 적용한 연구[18]가 대표적이다. 국내에서는 해외지수와 투자자별 매매 동향을 입력으로 삼은 등락 예측[2], 가중 손실 함수를 적용한 순환 합성곱 구조[19]가 보고되었다. 본 연구는 [2]와 마찬가지로 해외지수와 투자자 수급을 입력에 포함하되, 예측을 점이 아니라 분포로 산출한다는 점이 다르다.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잘 조정된 단순 기준모형과의 비교가 부재하여 개선폭이 과장되기 쉽다는 지적은 예측 문헌에서 반복되어 왔으므로[20], 본 연구는 동일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연구 방법</w:t>
      </w:r>
    </w:p>
    <w:p>
      <w:pPr>
        <w:keepNext/>
        <w:autoSpaceDE w:val="0"/>
        <w:autoSpaceDN w:val="0"/>
        <w:spacing w:after="20" w:before="0" w:line="280" w:lineRule="exact"/>
      </w:pPr>
      <w:r>
        <w:rPr>
          <w:rFonts w:ascii="Times New Roman" w:hAnsi="Times New Roman" w:eastAsia="Apple SD Gothic Neo"/>
          <w:b/>
          <w:i w:val="0"/>
          <w:spacing w:val="-9"/>
          <w:w w:val="95"/>
          <w:sz w:val="18"/>
        </w:rPr>
        <w:t>3.1 요구사항으로부터의 구조 도출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연구의 구성요소는 모두 &lt;Table 1&gt;의 좌측 요구사항으로부터 역산되었다.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distribution, not a point: q90 - q10 must exist</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head,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Cost: 120-day lookback x 201 stocks, daily</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Sequence-length reduction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 tokenization (120 to 24)</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Cost: channel-independent encoding repeats the encoder</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Channel-axis reduction before the encoder</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variable selection network (vs. linear merge, Sec. 5.4)</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Non-stationary normalization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Exogenous sequence injection</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제안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5220000" cy="395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220000" cy="395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keepNext/>
        <w:autoSpaceDE w:val="0"/>
        <w:autoSpaceDN w:val="0"/>
        <w:spacing w:after="20" w:before="0" w:line="280" w:lineRule="exact"/>
      </w:pPr>
      <w:r>
        <w:rPr>
          <w:rFonts w:ascii="Times New Roman" w:hAnsi="Times New Roman" w:eastAsia="Apple SD Gothic Neo"/>
          <w:b/>
          <w:i w:val="0"/>
          <w:spacing w:val="-9"/>
          <w:w w:val="95"/>
          <w:sz w:val="18"/>
        </w:rPr>
        <w:t>3.3 결합 과정의 설계 결정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기권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패치 임베딩은 각 채널을 독립적으로 24개 토큰으로 변환한다. 채널 축을 줄이는 데 연산이 가장 적은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AppleMyungjo"/>
          <w:b w:val="0"/>
          <w:i/>
          <w:spacing w:val="-5"/>
          <w:w w:val="100"/>
          <w:sz w:val="18"/>
        </w:rPr>
        <w:t>v</w:t>
      </w:r>
      <w:r>
        <w:rPr>
          <w:rFonts w:ascii="Times New Roman" w:hAnsi="Times New Roman" w:eastAsia="AppleMyungjo"/>
          <w:b w:val="0"/>
          <w:i w:val="0"/>
          <w:spacing w:val="-5"/>
          <w:w w:val="100"/>
          <w:sz w:val="18"/>
        </w:rPr>
        <w:t xml:space="preserve"> ∈ ℝ</w:t>
      </w:r>
      <w:r>
        <w:rPr>
          <w:rFonts w:ascii="Times New Roman" w:hAnsi="Times New Roman" w:eastAsia="AppleMyungjo"/>
          <w:b w:val="0"/>
          <w:i/>
          <w:spacing w:val="-5"/>
          <w:w w:val="100"/>
          <w:sz w:val="18"/>
          <w:vertAlign w:val="superscript"/>
        </w:rPr>
        <w:t>N×C</w:t>
      </w:r>
      <w:r>
        <w:rPr>
          <w:rFonts w:ascii="Times New Roman" w:hAnsi="Times New Roman" w:eastAsia="AppleMyungjo"/>
          <w:b w:val="0"/>
          <w:i w:val="0"/>
          <w:spacing w:val="-5"/>
          <w:w w:val="100"/>
          <w:sz w:val="18"/>
        </w:rPr>
        <w:t>는 각 채널의 사용 비중으로 남으나 본 연구는 이 값을 매매 근거로 제시하지 않는다. 종목 채널까지 선형 합치기로 바꾼 변형은 모수가 0.117M으로 줄면서도 정확도와 기권 행태가 같았다(5.4절). 인코더 앞에서 채널을 하나로 합치는 것이 비용 절감의 원인이며, 게이트는 그 이상의 정확도를 더하지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지표를 주입하는 크로스어텐션 모듈은 본 연구에서 직접 설계하였다. 외생변수를 어텐션으로 주입하는 발상 자체는 새롭지 않다. TimeXer[21]가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autoSpaceDE w:val="0"/>
        <w:autoSpaceDN w:val="0"/>
        <w:spacing w:after="80" w:before="0" w:line="280" w:lineRule="exact"/>
        <w:jc w:val="center"/>
      </w:pPr>
      <w:r>
        <w:rPr>
          <w:rFonts w:ascii="Times New Roman" w:hAnsi="Times New Roman" w:eastAsia="AppleMyungjo"/>
          <w:b w:val="0"/>
          <w:i w:val="0"/>
          <w:spacing w:val="-5"/>
          <w:w w:val="100"/>
          <w:sz w:val="18"/>
        </w:rPr>
        <w:t>CrossAttn(</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 softmax[ (</w:t>
      </w:r>
      <w:r>
        <w:rPr>
          <w:rFonts w:ascii="Times New Roman" w:hAnsi="Times New Roman" w:eastAsia="AppleMyungjo"/>
          <w:b w:val="0"/>
          <w:i/>
          <w:spacing w:val="-5"/>
          <w:w w:val="100"/>
          <w:sz w:val="18"/>
        </w:rPr>
        <w:t>Z 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vertAlign w:val="superscript"/>
        </w:rPr>
        <w:t>T</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는 종목 표현,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은 매크로 부호화,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xml:space="preserve">는 투영 행렬,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는 키의 차원이다. 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헤드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5).</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헤드 마지막 선형층의 세 출력이다. 교차가 발생하면 기권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2.3절에서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자료와 실험 설계</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(6)</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시험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0" w:before="0" w:line="280" w:lineRule="exact"/>
      </w:pPr>
      <w:r>
        <w:rPr>
          <w:rFonts w:ascii="Times New Roman" w:hAnsi="Times New Roman" w:eastAsia="Apple SD Gothic Neo"/>
          <w:b/>
          <w:i w:val="0"/>
          <w:spacing w:val="-9"/>
          <w:w w:val="95"/>
          <w:sz w:val="18"/>
        </w:rPr>
        <w:t>4.4 기권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넘으면 기권한다. 이 분위를 고른 근거와 바꿨을 때의 영향은 5.3절에서 따로 다룬다.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0.001, 0.009, 0.003, &lt; 0.001) 122거래일의 검증구간에서는 다섯 시드 모두 유의하지 않다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 헤드만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 헤드만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측정 방법은 다음과 같다. epoch당 시간은 40배치의 학습 스텝 시간 중앙값에, 4.3절의 학습 윈도우 264,653건이 만드는 4,135배치를 곱한 값이다. 전 종목 1회 통과는 201종목에 대한 순전파 21회의 중앙값이고, 종목당 지연시간은 그 값을 201로 나눈 것이지 따로 측정한 값이 아니다. 활성값은 역전파 그래프를 남기는 순전파가 추가로 할당한 장치 메모리이며, 독립적인 두 번의 측정이 0.8% 안에서 일치하였다. 분위 GBDT의 전 종목 통과는 시험구간 마지막 날의 199종목에 대한 것이고, 모수 메모리는 직렬화한 모형 크기다.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더 낮은 손실에서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&lt;Table 4&gt;를 얻은 캐글 GPU(배치 256, 혼합정밀도)에서는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기권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4.4절의 동일한 기권 규칙을 적용하고 시험구간 전체에서 집계하였다. 점 예측 모형은 임계할 폭이 없어 기권이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 기권이 고변동 구간에 집중된다. 이 집중은 세 구성요소 가운데 하나를 빼도 유지된다(5.4절). 예측 폭과 실현 변동의 상관 자체는 TFT 원본이 더 높았다(0.186 대 0.170). 기권이 고변동 구간에 더 몰리는 것과 폭이 변동을 더 잘 따라가는 것은 별개의 성질이다. 기권한 판단은 실제로 더 나빴다. 제안 모형이 기권한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기권 0.56 ± 0.02 대 유지 0.55 ± 0.02로 거의 같다. 기권한 판단은 방향을 틀리기 쉬운 판단이 아니라 오차의 크기가 큰 판단이며, 이는 기권이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기권시켜 같은 날 같은 개수를 기권하게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기권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기권율의 절대 수준을 정하는 임계값 분위는 시험구간을 참조하여 선택되었으므로 5.91%라는 값은 표본 밖 수치가 아니다. 다만 앞 문단의 통제군 비교는 날짜마다 같은 개수를 기권시켜 기권율을 맞춘 상태에서 여섯 수준 전부로 수행하였으므로, 이 비교의 결론은 임계값 선택에 의존하지 않는다.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시험구간 핀볼 손실, 최상위 변동성 분위의 기권율, 기권율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 및 향후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기권하는 규칙도 함께 적용하였다. 코스피200 구성종목 201개의 일별 자료로 평가하여 다음 두 가지를 확인하였다.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첫째, 제안 모형은 TFT 원본보다 낮은 분위 손실을 약 4분의 1의 비용으로 달성하였다. 시드를 짝지은 비교에서 구간마다 다섯 시드 전부가 제안 모형 쪽이었고, 조기종료에 쓰이지 않은 시험구간에서는 날짜 단위 DM 검정도 다섯 시드 모두 유의하였다. 학습 시간은 3.8배, 종목당 추론 시간은 4.8배 짧았고, 활성값 메모리는 5.1배 적었다. 다만 분위 GBDT의 비용은 이보다도 낮으며, 제안 모형이 GBDT보다 나은 점은 비용이 아니라 시험구간 손실이다(+4.95% 대 +3.45%, 다섯 시드 모두 GBDT보다 낮음). 또한 종목 채널의 변수선택망을 선형 합치기로 바꾼 변형은 모수가 0.117M으로 줄면서 같은 결과를 냈으므로, 운용에서는 이 변형이 같은 성능의 더 가벼운 선택지다(5.4절). 둘째, 예측 구간이 시장 변동성에 반응하여 기권이 변동성이 큰 시기에 집중되었다. 기권한 예측은 실행된 예측보다 오차가 약 1.5배 컸고, 기권율을 맞춘 비교에서도 최근 변동성만 보고 기권하는 단순 규칙보다 큰 오차를 더 잘 걸러냈다. 분위 GBDT도 같은 비교에서 대등한 기권 품질을 보였으므로 이 성질은 트랜스포머 구조에 고유하지 않다. 하나의 예측값만 내는 기존 패치 기반 모형으로는 이러한 기권 자체를 할 수 없다.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기권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기권은 폭의 순위만 쓰므로 영향을 받지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향후 연구에서는 구성요소를 둘 이상 함께 제거하는 실험으로 개선의 출처를 가리고,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