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160" w:before="0" w:line="300" w:lineRule="auto"/>
        <w:jc w:val="center"/>
      </w:pPr>
      <w:r>
        <w:rPr>
          <w:rFonts w:ascii="Times New Roman" w:hAnsi="Times New Roman" w:eastAsia="중고딕"/>
          <w:b w:val="0"/>
          <w:i w:val="0"/>
          <w:sz w:val="20"/>
        </w:rPr>
        <w:t>Sungjun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equips a patch-based transformer with the quantile forecasting structure and the variable selection network of TFT,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Time-Series Transformer, Quantile Regression, Patch-Based Transformer,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TFT의 분위 예측 구조와 변수선택망을 결합한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시계열 트랜스포머, 분위회귀, 패치 기반 트랜스포머,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필요하며 후자에는 TFT의 변수선택망을 쓴다.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변수선택망의 선행 배치가 채널 반복을 제거한 결과이며, 모수 1.4배 차이는 부차적이다. 같은 배율은 장비와 배치가 다른 조건에서도 재현된다 — &lt;Table 4&gt;를 얻은 캐글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결합하고, 변수선택망을 인코더 앞에 두어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구성요소별 기여는 단일 제거 실험에서 뚜렷이 구분되지 않았다(5.4절).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2337310@donga.ac.kr</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