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Model for Stock Returns Combining Patch Tokenization and Variable Selection</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Most stock forecasting models give a single answer to whether a price will rise or fall. In practice, an investor also needs to know how far that answer can be trusted and when to hold off. The Temporal Fusion Transformer (TFT) forecasts quantiles rather than a single value, but it attends to every time step and is therefore expensive. Patch-based transformers are inexpensive but produce only a single value. This paper combines the two. We equip a patch-based transformer with the quantile forecasting of TFT and with its variable selection network, placed before the encoder so that the channel axis collapses into one and the encoder runs a single time. A rule withholds a decision when the prediction interval is unusually wide. On daily data for 201 KOSPI 200 stocks since 2015, the model matched or slightly exceeded TFT in accuracy on the validation split across five repeated runs, while training ran 3.8 times and inference 4.8 times faster. Its prediction intervals widened in volatile markets, so withheld decisions concentrated there. The withheld forecasts carried about 1.5 times the error of those acted on, a sharper separation than a simple volatility rule achieved. Its intervals tracked volatility less closely than those of TFT, and its directional accuracy was lower than that of a tree-based baseline. The model is therefore better suited to deciding when not to act than to picking stocks. Because the evaluation period informed parts of the design, the figures are not fully out of sample. Section 6 states this and the remaining limitations.</w:t>
      </w:r>
    </w:p>
    <w:p>
      <w:pPr>
        <w:wordWrap w:val="0"/>
        <w:autoSpaceDE w:val="0"/>
        <w:autoSpaceDN w:val="0"/>
        <w:spacing w:after="200" w:before="0" w:line="300" w:lineRule="auto"/>
      </w:pPr>
      <w:r>
        <w:rPr>
          <w:rFonts w:ascii="Times New Roman" w:hAnsi="Times New Roman" w:eastAsia="태고딕"/>
          <w:b w:val="0"/>
          <w:i w:val="0"/>
          <w:sz w:val="15"/>
        </w:rPr>
        <w:t>Keywords : Time-Series Transformer, Quantile Regression, Variable Selection Network,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패치 토큰화와 변수선택망을 결합한 주가 수익률 경량 분위 모형</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 모형은 대부분 "오를 것인가, 내릴 것인가"에 대해 하나의 답만 내놓는다. 그러나 실제 투자 판단에서는 그 예측을 얼마나 믿을 수 있는지, 언제 판단을 미뤄야 하는지도 함께 알아야 한다. 예측값과 함께 불확실성의 폭을 내는 분위 예측 모형으로 Temporal Fusion Transformer(TFT)가 있으나, 모든 시점에서 어텐션을 수행하여 계산 비용이 크다. 계산이 가벼운 패치 기반 트랜스포머는 하나의 예측값만 낸다. 이에 본 논문에서는 패치 기반 트랜스포머에 TFT의 분위 예측 기능과 변수선택망을 결합한 경량 모형을 제안한다. 변수선택망은 입력 채널을 인코더 앞에서 하나로 축약하여 인코더를 한 번만 실행시키는 장치로 쓴다. 여기에 예측 구간이 이례적으로 넓을 때 판단을 보류하는 기권 규칙을 함께 적용하였다.</w:t>
      </w:r>
    </w:p>
    <w:p>
      <w:pPr>
        <w:wordWrap w:val="0"/>
        <w:autoSpaceDE w:val="0"/>
        <w:autoSpaceDN w:val="0"/>
        <w:spacing w:after="80" w:before="0" w:line="324" w:lineRule="auto"/>
        <w:jc w:val="both"/>
      </w:pPr>
      <w:r>
        <w:rPr>
          <w:rFonts w:ascii="Times New Roman" w:hAnsi="Times New Roman" w:eastAsia="신명조"/>
          <w:b w:val="0"/>
          <w:i w:val="0"/>
          <w:sz w:val="15"/>
        </w:rPr>
        <w:t>2015년 이후 코스피200 구성종목 201개의 일별 자료로 평가하였다. 제안 모형은 검증구간에서 다섯 번의 반복 실험 모두 TFT와 대등하거나 근소하게 높은 정확도를 보였고, 학습 시간과 추론 시간은 TFT보다 각각 3.8배, 4.8배 짧았다. 시장 변동성이 클수록 예측 구간이 넓어져, 판단 보류는 변동성 최상위 25% 후보의 20.6%, 최하위 25% 후보의 0.2%에서 일어났다. 보류된 예측의 오차는 실행된 예측의 약 1.5배로, 최근 변동성만 보고 보류하는 단순 규칙보다 큰 오차를 잘 걸러냈다. 다만 예측 구간이 변동성을 따라가는 정도는 TFT보다 낮았고, 오르내림 방향을 맞히는 능력은 트리 기반 기준모형보다 낮았다. 따라서 제안 모형은 종목을 고르는 용도보다 판단을 미룰 시점을 정하는 용도에 적합하다. 평가 기간 자료가 입력 설계와 기권 기준 선택에 참고되었으므로 보고 수치는 완전한 사후 검증 값이 아니며, 이를 포함한 한계는 6장에서 다룬다.</w:t>
      </w:r>
    </w:p>
    <w:p>
      <w:pPr>
        <w:wordWrap w:val="0"/>
        <w:autoSpaceDE w:val="0"/>
        <w:autoSpaceDN w:val="0"/>
        <w:spacing w:after="200" w:before="0" w:line="300" w:lineRule="auto"/>
      </w:pPr>
      <w:r>
        <w:rPr>
          <w:rFonts w:ascii="Times New Roman" w:hAnsi="Times New Roman" w:eastAsia="태고딕"/>
          <w:b w:val="0"/>
          <w:i w:val="0"/>
          <w:sz w:val="15"/>
        </w:rPr>
        <w:t>키워드 : 시계열 트랜스포머, 분위회귀, 변수선택망, 예측 불확실성, 기권</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다수는 최신 구조를 새 자료에 이식하거나 손실함수와 초매개변수를 조정하여 지표를 개선하는 방식이며, 구조를 과업의 요구사항으로부터 도출하지는 않는다. 그 경우 모형 선택의 근거가 성능 지표 외에 남지 않아 결과를 사후에 설명하기 어렵다.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필요하다. 비용에는 패치 토큰화로 어텐션 대상 시퀀스를 줄이는 것과, 채널 축을 인코더 앞에서 하나로 모으는 장치가 필요하다. 후자에는 TFT의 변수선택망을 쓴다. PatchTST를 그대로 쓰면 첫째 요구를 충족하지 못하고, TFT를 그대로 쓰면 둘째 요구를 충족하지 못한다. 제안 구조는 두 요구사항을 충족하도록 기존 구성요소를 조합한 것이며, 본 연구는 이를 정확도·비용·기권 행태의 세 축에서 검증한다.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구체적 질문은 두 가지이다. (1) 재조합 구조의 분위 정확도와 계산 비용은 두 원본과 어떻게 비교되는가. (2) 예측 구간이 변동성에 반응하여 기권이 실제로 더 나쁜 판단을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구성은 다음과 같다. 2장에서는 패치 기반 트랜스포머와 분위 예측·변수선택 구조, 분위 회귀에 관한 관련 연구를 정리한다. 3장에서는 요구사항으로부터 제안 구조를 도출하고 결합 과정의 설계 결정을 기술한다. 4장에서는 자료, 분할, 기권 규칙을 포함한 실험 설계를, 5장에서는 정확도·비용·기권 행태와 예측구간의 교정 상태에 대한 실험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헤드와 변수선택망을 부품으로 채택하고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문제이므로, 본 연구는 등각예측을 분위회귀에 결합한 방법[13]으로 교정 상태를 5.4절에서 점검한다.</w:t>
      </w:r>
    </w:p>
    <w:p>
      <w:pPr>
        <w:wordWrap w:val="0"/>
        <w:autoSpaceDE w:val="0"/>
        <w:autoSpaceDN w:val="0"/>
        <w:spacing w:after="60" w:before="0" w:line="300" w:lineRule="auto"/>
      </w:pPr>
      <w:r>
        <w:rPr>
          <w:rFonts w:ascii="Times New Roman" w:hAnsi="Times New Roman" w:eastAsia="중고딕"/>
          <w:b w:val="0"/>
          <w:i w:val="0"/>
          <w:sz w:val="18"/>
        </w:rPr>
        <w:t>2.4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구체적으로 종목 시퀀스를 질의로, 매크로 시퀀스를 키·값으로 두었다. 외생변수를 어텐션으로 주입하는 발상 자체는 새롭지 않다. TimeXer[14]가 같은 문제를 다루었으며, 외생 변수를 변수 단위 토큰으로 요약해 내생 패치 토큰과 교차시킨다. 본 연구의 모듈은 매크로 시퀀스를 패치 단위로 유지한 채 키와 값으로 둔다는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연구[15]와 다수의 머신러닝 기법을 자산가격 결정에 적용한 연구[16]가 대표적이다. 국내에서는 해외지수와 투자자별 매매 동향을 입력으로 삼은 등락 예측[2], 가중 손실 함수를 적용한 순환 합성곱 구조[17]가 보고되었다. 본 연구는 [2]와 마찬가지로 해외지수와 투자자 수급을 입력에 포함하되, 이를 별도 경로의 크로스어텐션으로 주입하고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공개 벤치마크 Qlib[18]에서는 그래디언트 부스팅 계열이 트랜스포머와 LSTM을 모두 상회한다고 보고된다(랭크 정보계수 0.047~0.051 대 0.041~0.044). 잘 조정된 단순 기준모형과의 공정한 비교가 부재하다는 점이 이 분야 문헌의 공통 약점이므로 본 연구는 동일 조건의 그래디언트 부스팅 기준모형을 함께 측정하였고, 그 결과는 6장의 한계에 밝혔다. 실질적 독립 사건 규모에서 미세조정이 성립하지 않는 시계열 기반모형은 비교에서 제외하였다.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Cross-attention (this work)</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5595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559538"/>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mark the PatchTST lineage (yellow), the TFT components (blue), the macro cross-attention added in this work (teal) and the static context path (orange).</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60" w:before="0" w:line="341" w:lineRule="auto"/>
      </w:pPr>
      <w:r>
        <w:rPr>
          <w:rFonts w:ascii="Times New Roman" w:hAnsi="Times New Roman" w:eastAsia="신명조"/>
          <w:b w:val="0"/>
          <w:i w:val="0"/>
          <w:sz w:val="18"/>
        </w:rPr>
        <w:t>1) 채널 독립의 유지 근거</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가장 싼 방법은 선형 합치기이며, 매크로 경로에는 실제로 그 방식을 썼다. 종목 채널에는 대신 변수선택망을 두었다. 소프트맥스 게이트가 정적 문맥으로 조건화되어 섹터와 시가총액 구간에 따라 다른 가중을 주기 때문이다. 다만 종목 채널까지 선형 합치기로 바꾼 변형과 정확도를 비교하지는 않았으므로, 게이트가 이 비용만큼의 값을 했는지는 가리지 못하였다(6장).</w:t>
      </w:r>
    </w:p>
    <w:p>
      <w:pPr>
        <w:wordWrap w:val="0"/>
        <w:autoSpaceDE w:val="0"/>
        <w:autoSpaceDN w:val="0"/>
        <w:spacing w:after="60" w:before="0" w:line="341" w:lineRule="auto"/>
      </w:pPr>
      <w:r>
        <w:rPr>
          <w:rFonts w:ascii="Times New Roman" w:hAnsi="Times New Roman" w:eastAsia="신명조"/>
          <w:b w:val="0"/>
          <w:i w:val="0"/>
          <w:sz w:val="18"/>
        </w:rPr>
        <w:t>2) 변수선택망의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변수선택망은 정적 문맥 </w:t>
      </w:r>
      <w:r>
        <w:rPr>
          <w:rFonts w:ascii="Times New Roman" w:hAnsi="Times New Roman" w:eastAsia="신명조"/>
          <w:b w:val="0"/>
          <w:i/>
          <w:sz w:val="18"/>
        </w:rPr>
        <w:t>c_s</w:t>
      </w:r>
      <w:r>
        <w:rPr>
          <w:rFonts w:ascii="Times New Roman" w:hAnsi="Times New Roman" w:eastAsia="신명조"/>
          <w:b w:val="0"/>
          <w:i w:val="0"/>
          <w:sz w:val="18"/>
        </w:rPr>
        <w:t>로 조건화된 소프트맥스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α</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val="0"/>
          <w:sz w:val="18"/>
        </w:rPr>
        <w:t xml:space="preserve"> = Σ </w:t>
      </w:r>
      <w:r>
        <w:rPr>
          <w:rFonts w:ascii="Times New Roman" w:hAnsi="Times New Roman" w:eastAsia="신명조"/>
          <w:b w:val="0"/>
          <w:i/>
          <w:sz w:val="18"/>
        </w:rPr>
        <w:t>α</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축을 그대로 받아 채널 수만큼 반복 실행된다. 앞에 두면 채널이 먼저 하나로 축약되어 인코더가 1회만 실행된다. 이전 설정(17채널)에서 순전파를 실측한 결과 259ms에서 52ms로 5배 단축되었다. 변수선택망이 패치 임베딩을 입력받아 채널을 가중하므로 </w:t>
      </w:r>
      <w:r>
        <w:rPr>
          <w:rFonts w:ascii="Times New Roman" w:hAnsi="Times New Roman" w:eastAsia="신명조"/>
          <w:b w:val="0"/>
          <w:i/>
          <w:sz w:val="18"/>
        </w:rPr>
        <w:t>α</w:t>
      </w:r>
      <w:r>
        <w:rPr>
          <w:rFonts w:ascii="Times New Roman" w:hAnsi="Times New Roman" w:eastAsia="신명조"/>
          <w:b w:val="0"/>
          <w:i w:val="0"/>
          <w:sz w:val="18"/>
        </w:rPr>
        <w:t>는 각 채널의 사용 비중으로 남는다. 다만 본 연구는 이 값을 매매 근거로 제시하지 않는다(6장).</w:t>
      </w:r>
    </w:p>
    <w:p>
      <w:pPr>
        <w:wordWrap w:val="0"/>
        <w:autoSpaceDE w:val="0"/>
        <w:autoSpaceDN w:val="0"/>
        <w:spacing w:after="60" w:before="0" w:line="341" w:lineRule="auto"/>
      </w:pPr>
      <w:r>
        <w:rPr>
          <w:rFonts w:ascii="Times New Roman" w:hAnsi="Times New Roman" w:eastAsia="신명조"/>
          <w:b w:val="0"/>
          <w:i w:val="0"/>
          <w:sz w:val="18"/>
        </w:rPr>
        <w:t>3)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w:t>
      </w:r>
    </w:p>
    <w:p>
      <w:pPr>
        <w:wordWrap w:val="0"/>
        <w:autoSpaceDE w:val="0"/>
        <w:autoSpaceDN w:val="0"/>
        <w:spacing w:after="60" w:before="0" w:line="341" w:lineRule="auto"/>
      </w:pPr>
      <w:r>
        <w:rPr>
          <w:rFonts w:ascii="Times New Roman" w:hAnsi="Times New Roman" w:eastAsia="신명조"/>
          <w:b w:val="0"/>
          <w:i w:val="0"/>
          <w:sz w:val="18"/>
        </w:rPr>
        <w:t>4)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o</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2</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3</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val="0"/>
          <w:sz w:val="18"/>
        </w:rPr>
        <w:t>교차가 발생하면 기권 폭이 음수가 되어 하위 규칙 전체가 무효화되므로 구조적 보장이 필요하다. 5.1절의 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헤드의 초기화도 성능에 영향을 주었다. 기본 초기화에서는 softplus(0) = 0.693이라 분위 간격이 윈도우 변동성 </w:t>
      </w:r>
      <w:r>
        <w:rPr>
          <w:rFonts w:ascii="Times New Roman" w:hAnsi="Times New Roman" w:eastAsia="신명조"/>
          <w:b w:val="0"/>
          <w:i/>
          <w:sz w:val="18"/>
        </w:rPr>
        <w:t>σ</w:t>
      </w:r>
      <w:r>
        <w:rPr>
          <w:rFonts w:ascii="Times New Roman" w:hAnsi="Times New Roman" w:eastAsia="신명조"/>
          <w:b w:val="0"/>
          <w:i w:val="0"/>
          <w:sz w:val="18"/>
        </w:rPr>
        <w:t xml:space="preserve"> 단위로 0.693씩 고정된다. 분위 출력에는 RevIN이 구한 </w:t>
      </w:r>
      <w:r>
        <w:rPr>
          <w:rFonts w:ascii="Times New Roman" w:hAnsi="Times New Roman" w:eastAsia="신명조"/>
          <w:b w:val="0"/>
          <w:i/>
          <w:sz w:val="18"/>
        </w:rPr>
        <w:t>σ</w:t>
      </w:r>
      <w:r>
        <w:rPr>
          <w:rFonts w:ascii="Times New Roman" w:hAnsi="Times New Roman" w:eastAsia="신명조"/>
          <w:b w:val="0"/>
          <w:i w:val="0"/>
          <w:sz w:val="18"/>
        </w:rPr>
        <w:t>, 즉 일간 수익률 채널의 윈도우 표준편차가 다시 곱해지므로 초기 q10~q90 폭은 1.386</w:t>
      </w:r>
      <w:r>
        <w:rPr>
          <w:rFonts w:ascii="Times New Roman" w:hAnsi="Times New Roman" w:eastAsia="신명조"/>
          <w:b w:val="0"/>
          <w:i/>
          <w:sz w:val="18"/>
        </w:rPr>
        <w:t>σ</w:t>
      </w:r>
      <w:r>
        <w:rPr>
          <w:rFonts w:ascii="Times New Roman" w:hAnsi="Times New Roman" w:eastAsia="신명조"/>
          <w:b w:val="0"/>
          <w:i w:val="0"/>
          <w:sz w:val="18"/>
        </w:rPr>
        <w:t xml:space="preserve">이고, 학습구간 평균 </w:t>
      </w:r>
      <w:r>
        <w:rPr>
          <w:rFonts w:ascii="Times New Roman" w:hAnsi="Times New Roman" w:eastAsia="신명조"/>
          <w:b w:val="0"/>
          <w:i/>
          <w:sz w:val="18"/>
        </w:rPr>
        <w:t>σ</w:t>
      </w:r>
      <w:r>
        <w:rPr>
          <w:rFonts w:ascii="Times New Roman" w:hAnsi="Times New Roman" w:eastAsia="신명조"/>
          <w:b w:val="0"/>
          <w:i w:val="0"/>
          <w:sz w:val="18"/>
        </w:rPr>
        <w:t>로 환산하면 0.035이다. 5일 수익률의 전체 분위 폭 0.124의 0.28배로, 목표 분포와 어긋난 지점에서 학습이 시작된다. 이 경우 검증 손실은 0.013993으로 기준선 0.013285보다 5.3% 열등하였다(이전 설정의 측정값이다). 최종층 편향을 학습자료의 무조건부 분위수로 설정하여 해소하였으며, 최종층 가중치는 작게 두되 0이면 기울기가 인코더까지 전달되지 않으므로 0이 아닌 작은 값으로 두었다.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이후 일별 자료이며, 종목당 최대 2,857거래일이다.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상이하여(공통 1,887일, 전체 2,857일) 공통 달력을 강제하면 34%의 자료가 소실되므로,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시가총액으로 고정하였다(6장). 요일은 개체의 고정 속성이 아니라 시점마다 달라지는 사전 알려진 공변량인데, 구현에서는 윈도우 마지막 날의 요일을 정적 입력으로 넣었다. TFT 용어의 known future input 에 해당하므로 분류가 정확하지 않다.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 1·2·3일 보조 지평은 패널에 생성해 두었으나 본 실험의 세 모형은 사용하지 않았으며, 출력은 5일 지평의 세 분위뿐이다.</w:t>
      </w:r>
    </w:p>
    <w:p>
      <w:pPr>
        <w:wordWrap w:val="0"/>
        <w:autoSpaceDE w:val="0"/>
        <w:autoSpaceDN w:val="0"/>
        <w:spacing w:after="80" w:before="0" w:line="341" w:lineRule="auto"/>
        <w:ind w:firstLine="180"/>
        <w:jc w:val="both"/>
      </w:pPr>
      <w:r>
        <w:rPr>
          <w:rFonts w:ascii="Times New Roman" w:hAnsi="Times New Roman" w:eastAsia="신명조"/>
          <w:b w:val="0"/>
          <w:i w:val="0"/>
          <w:sz w:val="18"/>
        </w:rPr>
        <w:t>목표를 초과수익으로 정렬하는 과정에서 설계 하나가 바뀌었다. 모형에 지수 대비 상대 성과를 나타내는 채널이 없으면 검증구간과 검정구간의 방향 예측력 부호가 엇갈렸다. 상대강도와 베타, 그 횡단면 순위를 추가하여 동적 채널을 24개에서 30개로 늘린 뒤 두 구간의 부호가 일치하였다.</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6일까지 548거래일·198종목·106,094건이다. 이후 절에서 구간 일수가 다르게 나타나는 것은 지표마다 모집단이 다르기 때문이다. 예측 손실과 정보계수는 548일 위에서, 횡단면 상관은 그 가운데 526일에서 산출된다.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공유한다. 명목 학습 행 260,339건 가운데 비중첩 표본은 약 52,097건이고, 같은 날짜의 201개 종목이 시장 공통요인으로 묶이므로 날짜 단위로 세면 약 1,900거래일이다. 목표가 5일씩 겹치는 것까지 반영해 비중첩으로 세면 약 380개로 줄어든다. 이전 설정(146종목·17채널)의 탐색에서 더 큰 설정은 1~2회차에 과적합되었고, 같은 구조를 30채널로 확장한 결과가 0.50M이다.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look-ahead가 생기기 때문이고, 모의투자에서 실제로 쓰는 방식과도 같다.</w:t>
      </w:r>
    </w:p>
    <w:p>
      <w:pPr>
        <w:wordWrap w:val="0"/>
        <w:autoSpaceDE w:val="0"/>
        <w:autoSpaceDN w:val="0"/>
        <w:spacing w:after="80" w:before="0" w:line="341" w:lineRule="auto"/>
        <w:ind w:firstLine="180"/>
        <w:jc w:val="both"/>
      </w:pPr>
      <w:r>
        <w:rPr>
          <w:rFonts w:ascii="Times New Roman" w:hAnsi="Times New Roman" w:eastAsia="신명조"/>
          <w:b w:val="0"/>
          <w:i w:val="0"/>
          <w:sz w:val="18"/>
        </w:rPr>
        <w:t>임계값을 절대값으로 두었던 초기 설정은 학습이 2022년 하락장에서 끝난 탓에 구조적으로 도달 불가능해져 2.1년간 기권율이 95.8%에 달하였다. 최근 분포의 상대 순위로 전환한 것은 그 결함을 교정한 결과이다.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공유한다. 두 가지 제약을 먼저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 기준선은 세 모형 모두 0.012175로 동일하게 산출되어 통제가 작동하였음을 수치로 확인할 수 있다. TFT 원본과 제안 모형은 시드 42~46의 다섯 번씩을 같은 GPU·같은 혼합정밀도 설정으로 학습하여 평균과 표준편차를 보고한다. 분위 헤드만 부착한 PatchTST는 기준선 대비 격차가 +0.26%로 시드 변동의 범위를 크게 벗어나므로 단일 실행값을 보고한다. &lt;Table 4&gt;가 예측 정확도이다.</w:t>
      </w:r>
    </w:p>
    <w:p>
      <w:pPr>
        <w:wordWrap w:val="0"/>
        <w:autoSpaceDE w:val="0"/>
        <w:autoSpaceDN w:val="0"/>
        <w:spacing w:after="40" w:before="0" w:line="288" w:lineRule="auto"/>
      </w:pPr>
      <w:r>
        <w:rPr>
          <w:rFonts w:ascii="Times New Roman" w:hAnsi="Times New Roman" w:eastAsia="중고딕"/>
          <w:b w:val="0"/>
          <w:i w:val="0"/>
          <w:sz w:val="17"/>
        </w:rPr>
        <w:t>Table 4. Forecast accuracy on validation (three-quantile pinball loss). Every figure in this table is on the validation split. TFT and the proposed model are means over five seeds (42-46) trained on one GPU; the PatchTST row is a single run on a Mac MPS backend. The original point-forecast PatchTST is left out: scored as three identical quantiles it falls 47.79% below the baseline, which reflects the loss function rather than a comparison</w:t>
      </w:r>
    </w:p>
    <w:p>
      <w:pPr>
        <w:sectPr>
          <w:type w:val="continuous"/>
          <w:pgSz w:w="11906" w:h="16838"/>
          <w:pgMar w:top="1446" w:right="1134" w:bottom="879" w:left="1134" w:header="567" w:footer="567" w:gutter="0"/>
          <w:docGrid w:linePitch="360"/>
          <w:cols w:num="2" w:space="453" w:equalWidth="1"/>
        </w:sectPr>
      </w:pP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Range</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0.012143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single run</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+0.26%</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0.011922-0.011970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 (PatchTST x TFT)</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0.011873-0.011904</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결과는 두 가지로 해석된다. 첫째, 분위 헤드만 부착해서는 충분하지 않다. 해당 설정은 +0.26%로 상수 예측을 간신히 상회하는 데 그쳤으며 변수선택·정적 문맥·매크로 입력이 결여되어 있다. 둘째, TFT 원본과 제안 모형의 격차는 핀볼 손실 0.000046으로 기준선 대비 개선폭(0.000286)의 16%이다. &lt;Table 4&gt;가 보이듯 다섯 시드에서 두 분포의 범위는 겹치지 않으며, 시드를 짝지어 보아도 다섯 쌍 모두 제안 모형이 낮았다(부호검정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0.063 양측). 평균 차이에 대한 Welch 검정은 </w:t>
      </w:r>
      <w:r>
        <w:rPr>
          <w:rFonts w:ascii="Times New Roman" w:hAnsi="Times New Roman" w:eastAsia="신명조"/>
          <w:b w:val="0"/>
          <w:i/>
          <w:sz w:val="18"/>
        </w:rPr>
        <w:t>t</w:t>
      </w:r>
      <w:r>
        <w:rPr>
          <w:rFonts w:ascii="Times New Roman" w:hAnsi="Times New Roman" w:eastAsia="신명조"/>
          <w:b w:val="0"/>
          <w:i w:val="0"/>
          <w:sz w:val="18"/>
        </w:rPr>
        <w:t xml:space="preserve"> = 4.47(자유도 6.5, </w:t>
      </w:r>
      <w:r>
        <w:rPr>
          <w:rFonts w:ascii="Times New Roman" w:hAnsi="Times New Roman" w:eastAsia="신명조"/>
          <w:b w:val="0"/>
          <w:i/>
          <w:sz w:val="18"/>
        </w:rPr>
        <w:t>p</w:t>
      </w:r>
      <w:r>
        <w:rPr>
          <w:rFonts w:ascii="Times New Roman" w:hAnsi="Times New Roman" w:eastAsia="신명조"/>
          <w:b w:val="0"/>
          <w:i w:val="0"/>
          <w:sz w:val="18"/>
        </w:rPr>
        <w:t xml:space="preserve"> = 0.004 양측)이다. 초기화 변동을 통제하면 제안 모형이 체계적으로 낮은 쪽에 있다는 뜻이나 격차의 절대 크기가 작으므로, 본 연구는 이를 우위가 아니라 대등하거나 근소하게 낫다는 수준으로 해석한다. 두 검정의 근거도 넓지 않다. 검증 표본이 122거래일에 그쳐 검정력이 약하고, 시드 다섯은 작은 표본이다. 두 검정은 격차의 방향을 보이는 근거이며 그 크기를 확정하는 근거는 아니다. 한편 TFT는 다섯 시드 모두 1~2회차에서 최적값에 도달한 뒤 과적합으로 돌아섰고, 제안 모형의 최적 회차는 2~10회차에 분포하였다.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검증구간은 조기종료와 최적 회차 선택에 이미 쓰였으므로 세 모형 모두 낙관적으로 나온다. 같은 비교를 검정구간에서 한 번 더 확인하였다. 같은 표본 위의 날짜별 손실 계열에 Diebold-Mariano 검정을 적용하면 제안 모형의 핀볼 손실이 0.017689, TFT 원본이 0.017990으로 DM 통계량 −2.40, </w:t>
      </w:r>
      <w:r>
        <w:rPr>
          <w:rFonts w:ascii="Times New Roman" w:hAnsi="Times New Roman" w:eastAsia="신명조"/>
          <w:b w:val="0"/>
          <w:i/>
          <w:sz w:val="18"/>
        </w:rPr>
        <w:t>p</w:t>
      </w:r>
      <w:r>
        <w:rPr>
          <w:rFonts w:ascii="Times New Roman" w:hAnsi="Times New Roman" w:eastAsia="신명조"/>
          <w:b w:val="0"/>
          <w:i w:val="0"/>
          <w:sz w:val="18"/>
        </w:rPr>
        <w:t xml:space="preserve"> = 0.018이다(548일, Newey-West 4시차). 순서는 검증구간과 같다. 다만 이 값은 시드별 평균이 아니라 체크포인트 하나씩의 비교이고 두 체크포인트의 학습 장비가 다르므로, 검정구간의 다섯 시드 평균은 산출하지 못하였다. &lt;Table 4&gt;의 수치는 모두 검증구간 값이다. 비교의 실질은 &lt;Table 5&gt;의 비용으로 넘어간다.</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5.2 계산 비용</w:t>
      </w: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MPS, batch 64, 120-day input, 201 stocks). Seconds per epoch is the median training-step time over 40 batches times the 4,068 batches that one epoch takes over the 260,339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w:t>
      </w:r>
    </w:p>
    <w:p>
      <w:pPr>
        <w:sectPr>
          <w:type w:val="continuous"/>
          <w:pgSz w:w="11906" w:h="16838"/>
          <w:pgMar w:top="1446" w:right="1134" w:bottom="879" w:left="1134" w:header="567" w:footer="567" w:gutter="0"/>
          <w:docGrid w:linePitch="360"/>
          <w:cols w:num="2" w:space="453" w:equalWidth="1"/>
        </w:sectPr>
      </w:pP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108.9</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542.0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141.3</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2.00 MB</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대등한 정확도에서 제안 모형은 TFT 원본 대비 학습 3.8배, 종목당 추론 4.8배, 활성값 메모리 5.1배의 절감을 보였다. 패치 토큰화가 어텐션 대상 시퀀스를 120에서 24로 5배 줄이고 변수선택망의 선행 배치가 채널 반복을 제거한 결과이며, 모수 1.4배 차이는 부차적이다. 실질적 절감은 활성값과 실제 수행 시간에서 발생한다. 표의 세 행은 같은 장비·같은 배치에서 다시 측정한 값이다. 제안 모형은 외부 GPU에서 29.3초/epoch로도 학습되었다.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제안 모형이 파레토 전선 위에 있다.</w:t>
      </w:r>
    </w:p>
    <w:p>
      <w:pPr>
        <w:spacing w:after="40"/>
        <w:jc w:val="center"/>
      </w:pPr>
      <w:r>
        <w:drawing>
          <wp:inline xmlns:a="http://schemas.openxmlformats.org/drawingml/2006/main" xmlns:pic="http://schemas.openxmlformats.org/drawingml/2006/picture">
            <wp:extent cx="2916000" cy="2232562"/>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32562"/>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2. Forecast accuracy against inference cost. The vertical axis is the pinball improvement over the unconditional-quantile baseline on validation (&lt;Table 4&gt;), the horizontal axis is per-stock inference latency, and the marker area is activation memory for a 120-day input (&lt;Table 5&gt;). The original point-forecast PatchTST is omitted because its pinball loss falls far below the plotted range.</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세 분위 모형에 4.4절의 동일한 기권 규칙을 적용하고 검정구간 전체에서 집계하였다. 점 예측 모형은 임계할 폭이 없어 기권이 정의되지 않으므로 제외하였다. 자료 수집이 이어져 4.3절의 검정표본에 2거래일이 더해진 550거래일·106,490 윈도우가 집계 대상이다. 기권이 어디서 일어나는가와 보류된 판단이 실제로 더 나빴는가를 함께 본다.</w:t>
      </w: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 The abstention figures in this table, and the interval figures in Section 5.4, come from one checkpoint per model: the two baselines were trained on a Mac MPS backend and the proposed model on an external GPU, so the devices are mixed here and differ from those behind &lt;Table 4&gt;</w:t>
      </w:r>
    </w:p>
    <w:p>
      <w:pPr>
        <w:sectPr>
          <w:type w:val="continuous"/>
          <w:pgSz w:w="11906" w:h="16838"/>
          <w:pgMar w:top="1446" w:right="1134" w:bottom="879" w:left="1134" w:header="567" w:footer="567" w:gutter="0"/>
          <w:docGrid w:linePitch="360"/>
          <w:cols w:num="2" w:space="453" w:equalWidth="1"/>
        </w:sectPr>
      </w:pP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4.70%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12.91%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0.02387</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0.01806</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0.02617</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0.01768</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5.99%</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20.57%</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0.02646</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0.01726</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&lt;Table 6&gt;은 기권 요구사항이 규칙이 아니라 구조에 의해 충족되었음을 보여준다. 세 행의 기권 규칙은 동일하며 예측 분포만 다르다. 분위 헤드를 부착하면 기권이 작동하기 시작하고, 변수선택·정적 문맥·매크로 입력이 더해지면 최상위 변동성 분위의 기권율이 20.57%인 반면 최하위 분위는 0.20%에 머물러 기권이 고변동 구간에 집중된다.</w:t>
      </w:r>
    </w:p>
    <w:p>
      <w:pPr>
        <w:wordWrap w:val="0"/>
        <w:autoSpaceDE w:val="0"/>
        <w:autoSpaceDN w:val="0"/>
        <w:spacing w:after="80" w:before="0" w:line="341" w:lineRule="auto"/>
        <w:ind w:firstLine="180"/>
        <w:jc w:val="both"/>
      </w:pPr>
      <w:r>
        <w:rPr>
          <w:rFonts w:ascii="Times New Roman" w:hAnsi="Times New Roman" w:eastAsia="신명조"/>
          <w:b w:val="0"/>
          <w:i w:val="0"/>
          <w:sz w:val="18"/>
        </w:rPr>
        <w:t>보류된 판단이 실제로 더 나빴는지는 따로 재야 한다. 제안 모형이 기권한 6,381건의 핀볼 손실은 0.02646으로 남긴 100,109건의 0.01726보다 1.53배 크다. 날짜 단위로 짝지은 손실차는 +0.00804(</w:t>
      </w:r>
      <w:r>
        <w:rPr>
          <w:rFonts w:ascii="Times New Roman" w:hAnsi="Times New Roman" w:eastAsia="신명조"/>
          <w:b w:val="0"/>
          <w:i/>
          <w:sz w:val="18"/>
        </w:rPr>
        <w:t>t</w:t>
      </w:r>
      <w:r>
        <w:rPr>
          <w:rFonts w:ascii="Times New Roman" w:hAnsi="Times New Roman" w:eastAsia="신명조"/>
          <w:b w:val="0"/>
          <w:i w:val="0"/>
          <w:sz w:val="18"/>
        </w:rPr>
        <w:t xml:space="preserve"> = 19.74, 550일)이며, 분위 헤드만 부착한 모형과 TFT 원본에서도 같은 방향이다(</w:t>
      </w:r>
      <w:r>
        <w:rPr>
          <w:rFonts w:ascii="Times New Roman" w:hAnsi="Times New Roman" w:eastAsia="신명조"/>
          <w:b w:val="0"/>
          <w:i/>
          <w:sz w:val="18"/>
        </w:rPr>
        <w:t>t</w:t>
      </w:r>
      <w:r>
        <w:rPr>
          <w:rFonts w:ascii="Times New Roman" w:hAnsi="Times New Roman" w:eastAsia="신명조"/>
          <w:b w:val="0"/>
          <w:i w:val="0"/>
          <w:sz w:val="18"/>
        </w:rPr>
        <w:t xml:space="preserve"> = 13.44, 18.61). 반면 중앙값 부호의 방향 적중률은 기권 0.553 대 유지 0.548로 거의 같다. 보류된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대조하였다. 통제군의 비는 1.343(기권율 5.66%)으로 제안 모형의 1.533(5.99%)보다 낮고, 남긴 후보의 손실도 0.01747로 제안 모형의 0.01726보다 높다. TFT 원본도 1.480으로 자기 통제군(1.358)을 상회하였으나, 분위 헤드만 부착한 모형은 1.322로 통제군(1.366)에 미치지 못하였다. 통제군의 값이 1.343과 1.366으로 다른 것은 통제군을 모형마다 따로 맞춘 탓이 아니다. 실현변동성 점수는 모형과 무관하여 통제군의 기권율이 세 모형 모두 5.66%로 같고, 보류된 후보의 손실만 각 모형의 예측으로 재기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 자체가 다르면 보류 집단이 분포의 꼬리로 더 들어간 효과가 섞인다. 제안 모형은 5.99%, 통제군은 5.66%였으므로 기권율을 맞춘 비교를 따로 수행하였다. 이 비교에는 4.4절의 운용 규칙이 아니라 비교를 위해 별도로 정의한 규칙을 쓴다. 날짜마다 두 점수의 날짜별 횡단면 순위 상위 r%를 보류시키면 같은 날 같은 개수를 보류하게 되어 기권율이 일치한다. 보류와 유지의 핀볼 비는 r = 2, 5, 6, 10, 20, 30%에서 각각 1.574 대 1.485, 1.484 대 1.395, 1.475 대 1.368, 1.401 대 1.307, 1.333 대 1.258, 1.278 대 1.216이었다. 여섯 수준 전부에서 폭 기준이 높았고, 날짜 블록 부트스트랩 1,000회의 95% 신뢰구간도 여섯 수준 모두 0을 포함하지 않았다 (6%에서 차이 +0.107, 구간 [+0.079, +0.138]). TFT 원본은 5% 이상에서 같은 방향이나 2%에서는 구간이 0을 포함하였고, 분위 헤드만 부착한 모형은 여섯 수준 전부에서 통제군보다 낮았다. 기권율을 맞춘 뒤에도 제안 모형의 폭은 단순 변동성 지표보다 나은 보류 기준이며, 그 이점은 분위 헤드를 부착하는 것만으로는 생기지 않았다.</w:t>
      </w:r>
    </w:p>
    <w:p>
      <w:pPr>
        <w:wordWrap w:val="0"/>
        <w:autoSpaceDE w:val="0"/>
        <w:autoSpaceDN w:val="0"/>
        <w:spacing w:after="80" w:before="0" w:line="341" w:lineRule="auto"/>
        <w:ind w:firstLine="180"/>
        <w:jc w:val="both"/>
      </w:pPr>
      <w:r>
        <w:rPr>
          <w:rFonts w:ascii="Times New Roman" w:hAnsi="Times New Roman" w:eastAsia="신명조"/>
          <w:b w:val="0"/>
          <w:i w:val="0"/>
          <w:sz w:val="18"/>
        </w:rPr>
        <w:t>전체 기권율의 수준을 정하는 임계값 분위는 검정구간을 참조하여 선택되었으므로, 5.99%라는 절대 수준은 표본 밖 수치가 아니다. 다만 분위를 95에서 90, 75로 낮추면 제안 모형의 전체 기권율이 5.99%, 11.61%, 28.17%로 오르는 동안 최상위 변동성 분위의 기권율도 20.57%, 36.42%, 69.36%로 함께 올라 분위별 집중이 유지되며,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 임계값의 변화도 같은 방향을 가리킨다. 검정구간의 마지막 12개월(244거래일)에서 제안 모형의 임계값은 0.189에서 0.329로 74% 상승한 반면 TFT 원본은 0.175→0.187로 7% 오르는 데 그쳤고, 분위 헤드만 부착한 모형은 0.189→0.166으로 오히려 내렸다. 임계값이 직전 90일 폭 분포의 분위이므로 이는 제안 모형의 폭이 시장 변동성 변화에 더 크게 반응한다는 뜻이다. 같은 12개월 구간의 평균 폭 자체도 제안 모형이 0.1615로 TFT(0.1298)와 분위 헤드 모형(0.1274)보다 넓다(5.4절의 0.1410은 검정구간 전체 값이다). 변동성이 오른 구간에서 폭이 함께 넓어져 기권이 늘어난 결과가 &lt;Table 6&gt;의 Q4 기권율이다. 폭의 반응성 자체를 직접 비교한 실험은 수행하지 않았다.</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5.4 예측구간의 교정과 폭 예측</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7&gt;은 예측구간의 교정 상태와 폭 예측력을 검정구간 106,094 윈도우에서 측정한 결과이다. 폭 정보계수는 예측 구간의 폭 q90 − q10 과 앞으로 5일 실현 초과수익의 절댓값 사이의 상관이다. 뒤의 단순 기준 대조도 같은 목표를 쓰고 점수만 바꾼 것이다.</w:t>
      </w:r>
    </w:p>
    <w:p>
      <w:pPr>
        <w:wordWrap w:val="0"/>
        <w:autoSpaceDE w:val="0"/>
        <w:autoSpaceDN w:val="0"/>
        <w:spacing w:after="40" w:before="0" w:line="288" w:lineRule="auto"/>
      </w:pPr>
      <w:r>
        <w:rPr>
          <w:rFonts w:ascii="Times New Roman" w:hAnsi="Times New Roman" w:eastAsia="중고딕"/>
          <w:b w:val="0"/>
          <w:i w:val="0"/>
          <w:sz w:val="17"/>
        </w:rPr>
        <w:t>Table 7. Interval calibration and width predictive power (23,086 validation and 106,094 test windows)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Measure</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Interval coverage (nominal 80%)</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77.5%</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71.4%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Coverage after conformal correction (+0.034)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74.2%</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Width IC (interval against absolute realized 5-day excess return)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0.2710 (</w:t>
            </w:r>
            <w:r>
              <w:rPr>
                <w:rFonts w:ascii="Times New Roman" w:hAnsi="Times New Roman" w:eastAsia="신명조"/>
                <w:b w:val="0"/>
                <w:i/>
                <w:sz w:val="16"/>
              </w:rPr>
              <w:t>t</w:t>
            </w:r>
            <w:r>
              <w:rPr>
                <w:rFonts w:ascii="Times New Roman" w:hAnsi="Times New Roman" w:eastAsia="신명조"/>
                <w:b w:val="0"/>
                <w:i w:val="0"/>
                <w:sz w:val="16"/>
              </w:rPr>
              <w:t xml:space="preserve"> = 30.19)</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0.1767 (</w:t>
            </w:r>
            <w:r>
              <w:rPr>
                <w:rFonts w:ascii="Times New Roman" w:hAnsi="Times New Roman" w:eastAsia="신명조"/>
                <w:b/>
                <w:i/>
                <w:sz w:val="16"/>
              </w:rPr>
              <w:t>t</w:t>
            </w:r>
            <w:r>
              <w:rPr>
                <w:rFonts w:ascii="Times New Roman" w:hAnsi="Times New Roman" w:eastAsia="신명조"/>
                <w:b/>
                <w:i w:val="0"/>
                <w:sz w:val="16"/>
              </w:rPr>
              <w:t xml:space="preserve"> = 20.27)</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폭 정보계수는 날짜별 횡단면 상관을 먼저 구한 뒤 그 시계열 평균으로 정의하며, </w:t>
      </w:r>
      <w:r>
        <w:rPr>
          <w:rFonts w:ascii="Times New Roman" w:hAnsi="Times New Roman" w:eastAsia="신명조"/>
          <w:b w:val="0"/>
          <w:i/>
          <w:sz w:val="18"/>
        </w:rPr>
        <w:t>t</w:t>
      </w:r>
      <w:r>
        <w:rPr>
          <w:rFonts w:ascii="Times New Roman" w:hAnsi="Times New Roman" w:eastAsia="신명조"/>
          <w:b w:val="0"/>
          <w:i w:val="0"/>
          <w:sz w:val="18"/>
        </w:rPr>
        <w:t xml:space="preserve"> 값은 일별 계열의 표준오차에서 계산하였다. 목표가 5일 겹쳐 일별 계열에 자기상관이 남아 있는데 Newey-West 보정은 적용하지 않았으므로 </w:t>
      </w:r>
      <w:r>
        <w:rPr>
          <w:rFonts w:ascii="Times New Roman" w:hAnsi="Times New Roman" w:eastAsia="신명조"/>
          <w:b w:val="0"/>
          <w:i/>
          <w:sz w:val="18"/>
        </w:rPr>
        <w:t>t</w:t>
      </w:r>
      <w:r>
        <w:rPr>
          <w:rFonts w:ascii="Times New Roman" w:hAnsi="Times New Roman" w:eastAsia="신명조"/>
          <w:b w:val="0"/>
          <w:i w:val="0"/>
          <w:sz w:val="18"/>
        </w:rPr>
        <w:t xml:space="preserve"> 값은 다소 낙관적이다.</w:t>
      </w:r>
    </w:p>
    <w:p>
      <w:pPr>
        <w:wordWrap w:val="0"/>
        <w:autoSpaceDE w:val="0"/>
        <w:autoSpaceDN w:val="0"/>
        <w:spacing w:after="80" w:before="0" w:line="341" w:lineRule="auto"/>
        <w:ind w:firstLine="180"/>
        <w:jc w:val="both"/>
      </w:pPr>
      <w:r>
        <w:rPr>
          <w:rFonts w:ascii="Times New Roman" w:hAnsi="Times New Roman" w:eastAsia="신명조"/>
          <w:b w:val="0"/>
          <w:i w:val="0"/>
          <w:sz w:val="18"/>
        </w:rPr>
        <w:t>변동성은 군집성 때문에 그 자체로 예측하기 쉬우므로 폭 정보계수의 절대 크기만으로는 모형의 기여를 가릴 수 없다. 단순 기준과 나란히 두면 가릴 수 있다. 5.3절과 같은 실행에서 직전 20일 실현변동성을 점수로 쓰는 기준의 정보계수는 +0.1450(</w:t>
      </w:r>
      <w:r>
        <w:rPr>
          <w:rFonts w:ascii="Times New Roman" w:hAnsi="Times New Roman" w:eastAsia="신명조"/>
          <w:b w:val="0"/>
          <w:i/>
          <w:sz w:val="18"/>
        </w:rPr>
        <w:t>t</w:t>
      </w:r>
      <w:r>
        <w:rPr>
          <w:rFonts w:ascii="Times New Roman" w:hAnsi="Times New Roman" w:eastAsia="신명조"/>
          <w:b w:val="0"/>
          <w:i w:val="0"/>
          <w:sz w:val="18"/>
        </w:rPr>
        <w:t xml:space="preserve"> = 17.08)이었다. 같은 실행에서 제안 모형의 폭은 +0.1737(</w:t>
      </w:r>
      <w:r>
        <w:rPr>
          <w:rFonts w:ascii="Times New Roman" w:hAnsi="Times New Roman" w:eastAsia="신명조"/>
          <w:b w:val="0"/>
          <w:i/>
          <w:sz w:val="18"/>
        </w:rPr>
        <w:t>t</w:t>
      </w:r>
      <w:r>
        <w:rPr>
          <w:rFonts w:ascii="Times New Roman" w:hAnsi="Times New Roman" w:eastAsia="신명조"/>
          <w:b w:val="0"/>
          <w:i w:val="0"/>
          <w:sz w:val="18"/>
        </w:rPr>
        <w:t xml:space="preserve"> = 19.45)로 이를 상회하였고, 분위 헤드만 부착한 모형은 +0.0962에 그쳐 단순 기준에 미치지 못하였으며, TFT 원본은 +0.1946(</w:t>
      </w:r>
      <w:r>
        <w:rPr>
          <w:rFonts w:ascii="Times New Roman" w:hAnsi="Times New Roman" w:eastAsia="신명조"/>
          <w:b w:val="0"/>
          <w:i/>
          <w:sz w:val="18"/>
        </w:rPr>
        <w:t>t</w:t>
      </w:r>
      <w:r>
        <w:rPr>
          <w:rFonts w:ascii="Times New Roman" w:hAnsi="Times New Roman" w:eastAsia="신명조"/>
          <w:b w:val="0"/>
          <w:i w:val="0"/>
          <w:sz w:val="18"/>
        </w:rPr>
        <w:t xml:space="preserve"> = 24.05)으로 제안 모형보다 높았다. 폭에 변동성 정보를 담는 능력은 분위 헤드만으로는 생기지 않았으며, 변수선택·정적 문맥·매크로 입력이 함께 더해진 구조에서 나타났다. 어느 구성요소의 기여인지는 제거 실험 없이 가릴 수 없다(6장). 제안 모형은 그 능력을 TFT를 넘어서지는 못한 채 약 4분의 1의 비용으로 유지한다. &lt;Table 7&gt;의 폭 정보계수(+0.1767)와 이 단락의 값(+0.1737)이 다른 것은 표본이 2거래일 차이 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구간의 절대 교정은 좋지 않다. 명목 80% 구간이 검정구간에서 실제로 포함한 비율은 71.4%이고, 검증구간에서 산출한 등각예측 보정계수 +0.034를 적용해도 74.2%에 그친다. 본 모형의 구간은 체계적으로 좁다.</w:t>
      </w:r>
    </w:p>
    <w:p>
      <w:pPr>
        <w:wordWrap w:val="0"/>
        <w:autoSpaceDE w:val="0"/>
        <w:autoSpaceDN w:val="0"/>
        <w:spacing w:after="80" w:before="0" w:line="341" w:lineRule="auto"/>
        <w:ind w:firstLine="180"/>
        <w:jc w:val="both"/>
      </w:pPr>
      <w:r>
        <w:rPr>
          <w:rFonts w:ascii="Times New Roman" w:hAnsi="Times New Roman" w:eastAsia="신명조"/>
          <w:b w:val="0"/>
          <w:i w:val="0"/>
          <w:sz w:val="18"/>
        </w:rPr>
        <w:t>원인은 구간 간 변동성 차이에 있다. 폭은 변동성에 반응하지만 검정구간의 변동성 상승폭을 다 따라가지 못한다. 검정구간의 실현 p10~p90 폭이 0.1641인 데 비해 평균 예측 폭은 0.1410에 그친다. 검증구간에서는 두 값이 0.1080과 0.1100으로 거의 일치하여 포함률이 77.5%로 명목에 근접한다. 다만 4.4절의 기권 규칙은 폭의 절대 수준이 아니라 최근 분포 안에서의 상대 순위에 걸려 있다. 보정이 모든 폭에 같은 상수를 더하는 연산이므로 순위는 구성상 바뀌지 않고, 기권 선택도 그대로다. 기권에는 영향이 없으나 구간을 신뢰구간으로 읽어서는 안 된다.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기능과 변수선택망을 결합하였다. 변수선택망은 입력 채널을 인코더 앞에서 하나로 축약하여 인코더 실행 횟수를 1회로 줄이는 데 사용하였다. 예측 구간이 이례적으로 넓을 때 판단을 보류하는 기권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검증구간에서 TFT와 대등하거나 근소하게 높은 정확도를 약 4분의 1의 비용으로 달성하였다. 다섯 번의 반복 실험 모두에서 TFT보다 오차가 작았으나 그 차이는 크지 않다. 학습 시간은 3.8배, 종목당 추론 시간은 4.8배 짧았고, 활성값 메모리는 5.1배 적었다. 둘째, 예측 구간이 시장 변동성에 반응하여 판단 보류가 변동성이 큰 시기에 집중되었다. 보류된 예측은 실행된 예측보다 오차가 약 1.5배 컸다. 기권율을 맞춘 비교에서도 최근 변동성만 보고 보류하는 단순 규칙보다 큰 오차를 더 잘 걸러냈다. 하나의 예측값만 내는 기존 패치 기반 모형으로는 이러한 판단 보류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연구에는 다음 한계가 있다.</w:t>
      </w:r>
    </w:p>
    <w:p>
      <w:pPr>
        <w:wordWrap w:val="0"/>
        <w:autoSpaceDE w:val="0"/>
        <w:autoSpaceDN w:val="0"/>
        <w:spacing w:after="80" w:before="0" w:line="341" w:lineRule="auto"/>
        <w:ind w:firstLine="180"/>
        <w:jc w:val="both"/>
      </w:pPr>
      <w:r>
        <w:rPr>
          <w:rFonts w:ascii="Times New Roman" w:hAnsi="Times New Roman" w:eastAsia="신명조"/>
          <w:b w:val="0"/>
          <w:i w:val="0"/>
          <w:sz w:val="18"/>
        </w:rPr>
        <w:t>- 평가 기간의 자료가 입력 변수 구성과 기권 기준 선택에 참고되었으므로, 보고 수치는 완전한 사후 검증 값이 아니다. 다만 기권 기준 분위를 95에서 90, 75로 바꾸어도 판단 보류가 고변동 구간에 집중되는 경향은 유지되었다. - 오르내림 방향을 맞히는 능력은 동일 조건의 그래디언트 부스팅 기준모형보다 낮았다. 기준모형은 LightGBM[19]의 방식을 따른 scikit-learn 구현이다. 공통 표본 101,745건에서 랭크 정보계수가 +0.0288 대 +0.0197이다. 제안 모형은 종목을 고르는 데보다 판단을 미룰 시점을 정하는 데 적합하다. - 변수선택망의 가중치는 비용 절감 장치로만 사용하였다. 별도 진단에서 그 중요도는 개별 변수의 단변량 예측력과 일치하지 않았고 연도 간 거의 변하지 않았으므로, 매매 근거로는 제시하지 않는다. - 검정구간의 Diebold-Mariano 결과와 &lt;Table 6&gt;의 기권 지표, 폭 정보계수는 모형마다 체크포인트 하나씩으로 산출하였고, 그 학습 장비가 &lt;Table 4&gt;의 검증구간 값과 다르다. - 구성요소를 하나씩 제거하는 실험과 TFT의 크기를 맞춘 비교를 수행하지 않아 개선이 어느 부분에서 왔는지는 가리지 못하였다. 종목 채널의 변수선택망을 매크로 경로와 같은 선형 합치기로 바꾼 변형도 비교하지 않았으므로, 채널 축약에 게이트가 필요했는지는 열려 있다. - 유니버스를 현재 시점에서 추출하여 2015년 이후 상장폐지된 기업이 후보가 된 적이 없다. 시가총액 구간은 학습 종료 시점의 값으로 고정하였으므로 검증·검정 구간에는 사전 정보이고 학습 행에는 사후 값이다. - 평가 기간은 한 시장의 한 구간이며, 구간을 옮겨 가며 재학습하는 walk-forward 검증은 수행하지 않았다. 코스피200은 구간 전체로 +185.9%이나 2024년 하반기 −17.1%, 2026년 7월 고점 대비 −40.9% 하락을 포함한다. - 본 연구의 비교는 트랜스포머 계열 분위 모형 안으로 한정된다. - 입력이 모두 공개된 가격·거래량 지표여서, 같은 재료를 쓴 모형들이 같은 종목을 지목하기 쉽다. 이는 국내 선행 연구[20]에서도 지적된 제약이다.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w:t>
      </w:r>
    </w:p>
    <w:p>
      <w:pPr>
        <w:wordWrap w:val="0"/>
        <w:autoSpaceDE w:val="0"/>
        <w:autoSpaceDN w:val="0"/>
        <w:spacing w:after="80" w:before="0" w:line="341" w:lineRule="auto"/>
        <w:ind w:firstLine="180"/>
        <w:jc w:val="both"/>
      </w:pPr>
      <w:r>
        <w:rPr>
          <w:rFonts w:ascii="Times New Roman" w:hAnsi="Times New Roman" w:eastAsia="신명조"/>
          <w:b w:val="0"/>
          <w:i w:val="0"/>
          <w:sz w:val="18"/>
        </w:rPr>
        <w:t>향후 연구에서는 비교 이후 새로 쌓인 자료를 평가에 쓰지 않은 구간으로 두고,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[1] O. B. Sezer, M. U. Gudelek, and A. M. Ozbayoglu, "Financial time series forecasting with deep learning: A systematic literature review: 2005-2019," Applied Soft Computing,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[2] T. S. Kim and S. Lee, "Deep learning-based stock fluctuation prediction according to overseas indices and trading trends," KIPS Transactions on Software and Data Engineering,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[3] A. Vaswani, N. Shazeer, N. Parmar, J. Uszkoreit, L. Jones, A. N. Gomez, L. Kaiser, and I. Polosukhin, "Attention is all you need," in Advances in Neural Information Processing Systems, 2017, pp.5998-6008.</w:t>
      </w:r>
    </w:p>
    <w:p>
      <w:pPr>
        <w:wordWrap w:val="0"/>
        <w:autoSpaceDE w:val="0"/>
        <w:autoSpaceDN w:val="0"/>
        <w:spacing w:after="40" w:before="0" w:line="300" w:lineRule="auto"/>
        <w:ind w:hanging="280" w:left="280"/>
      </w:pPr>
      <w:r>
        <w:rPr>
          <w:rFonts w:ascii="Times New Roman" w:hAnsi="Times New Roman" w:eastAsia="신명조"/>
          <w:b w:val="0"/>
          <w:i w:val="0"/>
          <w:sz w:val="17"/>
        </w:rPr>
        <w:t>[4] H. Zhou, S. Zhang, J. Peng, S. Zhang, J. Li, H. Xiong, and W. Zhang, "Informer: Beyond efficient transformer for long sequence time-series forecasting," in Proceedings of the AAAI Conference on Artificial Intelligence, 2021, pp.11106-11115.</w:t>
      </w:r>
    </w:p>
    <w:p>
      <w:pPr>
        <w:wordWrap w:val="0"/>
        <w:autoSpaceDE w:val="0"/>
        <w:autoSpaceDN w:val="0"/>
        <w:spacing w:after="40" w:before="0" w:line="300" w:lineRule="auto"/>
        <w:ind w:hanging="280" w:left="280"/>
      </w:pPr>
      <w:r>
        <w:rPr>
          <w:rFonts w:ascii="Times New Roman" w:hAnsi="Times New Roman" w:eastAsia="신명조"/>
          <w:b w:val="0"/>
          <w:i w:val="0"/>
          <w:sz w:val="17"/>
        </w:rPr>
        <w:t>[5] H. Wu, J. Xu, J. Wang, and M. Long, "Autoformer: Decomposition transformers with auto-correlation for long-term series forecasting," in Advances in Neural Information Processing Systems, 2021.</w:t>
      </w:r>
    </w:p>
    <w:p>
      <w:pPr>
        <w:wordWrap w:val="0"/>
        <w:autoSpaceDE w:val="0"/>
        <w:autoSpaceDN w:val="0"/>
        <w:spacing w:after="40" w:before="0" w:line="300" w:lineRule="auto"/>
        <w:ind w:hanging="280" w:left="280"/>
      </w:pPr>
      <w:r>
        <w:rPr>
          <w:rFonts w:ascii="Times New Roman" w:hAnsi="Times New Roman" w:eastAsia="신명조"/>
          <w:b w:val="0"/>
          <w:i w:val="0"/>
          <w:sz w:val="17"/>
        </w:rPr>
        <w:t>[6] A. Zeng, M. Chen, L. Zhang, and Q. Xu, "Are transformers effective for time series forecasting?," in Proceedings of the AAAI Conference on Artificial Intelligence, 2023, pp.11121-11128.</w:t>
      </w:r>
    </w:p>
    <w:p>
      <w:pPr>
        <w:wordWrap w:val="0"/>
        <w:autoSpaceDE w:val="0"/>
        <w:autoSpaceDN w:val="0"/>
        <w:spacing w:after="40" w:before="0" w:line="300" w:lineRule="auto"/>
        <w:ind w:hanging="280" w:left="280"/>
      </w:pPr>
      <w:r>
        <w:rPr>
          <w:rFonts w:ascii="Times New Roman" w:hAnsi="Times New Roman" w:eastAsia="신명조"/>
          <w:b w:val="0"/>
          <w:i w:val="0"/>
          <w:sz w:val="17"/>
        </w:rPr>
        <w:t>[7] Y. Nie, N. H. Nguyen, P. Sinthong, and J. Kalagnanam, "A time series is worth 64 words: Long-term forecasting with transformers," in Proceedings of the International Conference on Learning Representations, 2023.</w:t>
      </w:r>
    </w:p>
    <w:p>
      <w:pPr>
        <w:wordWrap w:val="0"/>
        <w:autoSpaceDE w:val="0"/>
        <w:autoSpaceDN w:val="0"/>
        <w:spacing w:after="40" w:before="0" w:line="300" w:lineRule="auto"/>
        <w:ind w:hanging="280" w:left="280"/>
      </w:pPr>
      <w:r>
        <w:rPr>
          <w:rFonts w:ascii="Times New Roman" w:hAnsi="Times New Roman" w:eastAsia="신명조"/>
          <w:b w:val="0"/>
          <w:i w:val="0"/>
          <w:sz w:val="17"/>
        </w:rPr>
        <w:t>[8] B. Lim, S. O. Arik, N. Loeff, and T. Pfister, "Temporal fusion transformers for interpretable multi-horizon time series forecasting," International Journal of Forecasting,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[9] I. K. Kim, D. H. Kim, and J. Lee, "Temporal fusion transformers and deep learning methods for multi-horizon time series forecasting," KIPS Transactions on Software and Data Engineering,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[10] D.-K. Kim and K. Kim, "Style-based transformer for time series forecasting," KIPS Transactions on Software and Data Engineering,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[11] T. Kim, J. Kim, Y. Tae, C. Park, J.-H. Choi, and J. Choo, "Reversible instance normalization for accurate time-series forecasting against distribution shift," in Proceedings of the International Conference on Learning Representations, 2022.</w:t>
      </w:r>
    </w:p>
    <w:p>
      <w:pPr>
        <w:wordWrap w:val="0"/>
        <w:autoSpaceDE w:val="0"/>
        <w:autoSpaceDN w:val="0"/>
        <w:spacing w:after="40" w:before="0" w:line="300" w:lineRule="auto"/>
        <w:ind w:hanging="280" w:left="280"/>
      </w:pPr>
      <w:r>
        <w:rPr>
          <w:rFonts w:ascii="Times New Roman" w:hAnsi="Times New Roman" w:eastAsia="신명조"/>
          <w:b w:val="0"/>
          <w:i w:val="0"/>
          <w:sz w:val="17"/>
        </w:rPr>
        <w:t>[12] R. Koenker and G. Bassett, "Regression quantiles," Econometrica,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[13] Y. Romano, E. Patterson, and E. J. Candes, "Conformalized quantile regression," in Advances in Neural Information Processing Systems, 2019.</w:t>
      </w:r>
    </w:p>
    <w:p>
      <w:pPr>
        <w:wordWrap w:val="0"/>
        <w:autoSpaceDE w:val="0"/>
        <w:autoSpaceDN w:val="0"/>
        <w:spacing w:after="40" w:before="0" w:line="300" w:lineRule="auto"/>
        <w:ind w:hanging="280" w:left="280"/>
      </w:pPr>
      <w:r>
        <w:rPr>
          <w:rFonts w:ascii="Times New Roman" w:hAnsi="Times New Roman" w:eastAsia="신명조"/>
          <w:b w:val="0"/>
          <w:i w:val="0"/>
          <w:sz w:val="17"/>
        </w:rPr>
        <w:t>[14] Y. Wang, H. Wu, J. Dong, G. Qin, H. Zhang, Y. Liu, Y. Qiu, J. Wang, and M. Long, "TimeXer: Empowering transformers for time series forecasting with exogenous variables," in Advances in Neural Information Processing Systems, 2024.</w:t>
      </w:r>
    </w:p>
    <w:p>
      <w:pPr>
        <w:wordWrap w:val="0"/>
        <w:autoSpaceDE w:val="0"/>
        <w:autoSpaceDN w:val="0"/>
        <w:spacing w:after="40" w:before="0" w:line="300" w:lineRule="auto"/>
        <w:ind w:hanging="280" w:left="280"/>
      </w:pPr>
      <w:r>
        <w:rPr>
          <w:rFonts w:ascii="Times New Roman" w:hAnsi="Times New Roman" w:eastAsia="신명조"/>
          <w:b w:val="0"/>
          <w:i w:val="0"/>
          <w:sz w:val="17"/>
        </w:rPr>
        <w:t>[15] T. Fischer and C. Krauss, "Deep learning with long short-term memory networks for financial market predictions," European Journal of Operational Research,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[16] S. Gu, B. Kelly, and D. Xiu, "Empirical asset pricing via machine learning," The Review of Financial Studies,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[17] H. J. Kim and Y. S. Jung, "A stock price prediction based on recurrent convolution neural network with weighted loss function," KIPS Transactions on Software and Data Engineering,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[18] X. Yang, W. Liu, D. Zhou, J. Bian, and T.-Y. Liu, "Qlib: An AI-oriented quantitative investment platform," arXiv preprint arXiv:2009.11189, 2020.</w:t>
      </w:r>
    </w:p>
    <w:p>
      <w:pPr>
        <w:wordWrap w:val="0"/>
        <w:autoSpaceDE w:val="0"/>
        <w:autoSpaceDN w:val="0"/>
        <w:spacing w:after="40" w:before="0" w:line="300" w:lineRule="auto"/>
        <w:ind w:hanging="280" w:left="280"/>
      </w:pPr>
      <w:r>
        <w:rPr>
          <w:rFonts w:ascii="Times New Roman" w:hAnsi="Times New Roman" w:eastAsia="신명조"/>
          <w:b w:val="0"/>
          <w:i w:val="0"/>
          <w:sz w:val="17"/>
        </w:rPr>
        <w:t>[19] G. Ke, Q. Meng, T. Finley, T. Wang, W. Chen, W. Ma, Q. Ye, and T.-Y. Liu, "LightGBM: A highly efficient gradient boosting decision tree," Advances in Neural Information Processing Systems, Vol.30, pp.3146-3154, 2017.</w:t>
      </w:r>
    </w:p>
    <w:p>
      <w:pPr>
        <w:wordWrap w:val="0"/>
        <w:autoSpaceDE w:val="0"/>
        <w:autoSpaceDN w:val="0"/>
        <w:spacing w:after="40" w:before="0" w:line="300" w:lineRule="auto"/>
        <w:ind w:hanging="280" w:left="280"/>
      </w:pPr>
      <w:r>
        <w:rPr>
          <w:rFonts w:ascii="Times New Roman" w:hAnsi="Times New Roman" w:eastAsia="신명조"/>
          <w:b w:val="0"/>
          <w:i w:val="0"/>
          <w:sz w:val="17"/>
        </w:rPr>
        <w:t>[20] M. K. Kwon and J. W. Nam, "AI and asset management: A review of the possibility of a paradigm shift," Issue Report 25-21, Korea Capital Market Institute, 2025 (in Korean).</w:t>
      </w: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