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16일까지의 일별 자료 총 519,617행으로, 종목당 최대 2,892거래일을 포함한다. 종목 목록은 2026년 9월 8일 기준 지수 구성종목 조회 결과이며, 지수 및 투자자 수급 계열을 포함한 모든 자료는 증권사 Open API를 통해 수집되었다. 거래정지일은 거래량이 0이며 시가·고가·저가·종가가 동일하게 기록된다. 이를 그대로 유지할 경우 허위의 0 수익률이 발생하여 변동성 추정을 왜곡하므로, 지표 산출 이전에 제거하였다. 종목별 거래일 수는 편차가 크며, 가장 짧은 종목은 35거래일에 불과하다. 201개 종목이 모두 존재하는 공통 거래일만 사용할 경우 전체 행의 98.6%가 소실되므로, 윈도우는 각 종목의 개별 시계열 상에서 구성하였다. 구현 모형 및 평가 코드는 요청에 따라 제공 가능하나, 원자료는 API 이용 약관에 따라 재배포가 제한된다.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