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Model for Stock Returns Combining Patch Tokenization and Variable Selection</w:t>
      </w:r>
    </w:p>
    <w:p>
      <w:pPr>
        <w:wordWrap w:val="0"/>
        <w:autoSpaceDE w:val="0"/>
        <w:autoSpaceDN w:val="0"/>
        <w:spacing w:after="160" w:before="0" w:line="300" w:lineRule="auto"/>
        <w:jc w:val="center"/>
      </w:pPr>
      <w:r>
        <w:rPr>
          <w:rFonts w:ascii="Times New Roman" w:hAnsi="Times New Roman" w:eastAsia="중고딕"/>
          <w:b w:val="0"/>
          <w:i w:val="0"/>
          <w:sz w:val="20"/>
        </w:rPr>
        <w:t>Sungjun Park†⋅Jimin Kim†⋅Ohjae Kwon†⋅Haeol Song†⋅Jeongil Seo††⋅Juhan Yoo†††</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Most stock forecasting models give a single answer to whether a price will rise or fall. In practice, an investor also needs to know how far that answer can be trusted and when to hold off. The Temporal Fusion Transformer (TFT) forecasts quantiles rather than a single value, but it attends to every time step and is therefore expensive. Patch-based transformers are inexpensive but produce only a single value. This paper combines the two. We equip a patch-based transformer with the quantile forecasting of TFT and with its variable selection network, placed before the encoder so that the channel axis collapses into one and the encoder runs a single time. A rule withholds a decision when the prediction interval is unusually wide. On daily data for 201 KOSPI 200 stocks since 2015, the model had a lower loss than TFT in all five repeated runs, on both the validation split that early stopping had used and the test split that it had not, while training 3.8 times and running inference 4.8 times faster and using 5.1 times less activation memory. Its prediction intervals widened in volatile markets, so withheld decisions concentrated there. The withheld forecasts carried about 1.5 times the error of those acted on, a sharper separation than a simple volatility rule achieved. Because the evaluation period informed parts of the design, the figures are not fully out of sample. Section 6 states this and the remaining limitations.</w:t>
      </w:r>
    </w:p>
    <w:p>
      <w:pPr>
        <w:wordWrap w:val="0"/>
        <w:autoSpaceDE w:val="0"/>
        <w:autoSpaceDN w:val="0"/>
        <w:spacing w:after="200" w:before="0" w:line="300" w:lineRule="auto"/>
      </w:pPr>
      <w:r>
        <w:rPr>
          <w:rFonts w:ascii="Times New Roman" w:hAnsi="Times New Roman" w:eastAsia="태고딕"/>
          <w:b w:val="0"/>
          <w:i w:val="0"/>
          <w:sz w:val="15"/>
        </w:rPr>
        <w:t>Keywords : Time-Series Transformer, Quantile Regression, Variable Selection Network,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패치 토큰화와 변수선택망을 결합한 주가 수익률 경량 분위 모형</w:t>
      </w:r>
    </w:p>
    <w:p>
      <w:pPr>
        <w:wordWrap w:val="0"/>
        <w:autoSpaceDE w:val="0"/>
        <w:autoSpaceDN w:val="0"/>
        <w:spacing w:after="160" w:before="0" w:line="300" w:lineRule="auto"/>
        <w:jc w:val="center"/>
      </w:pPr>
      <w:r>
        <w:rPr>
          <w:rFonts w:ascii="Times New Roman" w:hAnsi="Times New Roman" w:eastAsia="중고딕"/>
          <w:b w:val="0"/>
          <w:i w:val="0"/>
          <w:sz w:val="20"/>
        </w:rPr>
        <w:t>박 성 준†⋅김 지 민†⋅권 오 재†⋅송 하 얼†⋅서 정 일††⋅유 주 한†††</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 모형은 대부분 "오를 것인가, 내릴 것인가"에 대해 하나의 답만 내놓는다. 그러나 실제 투자 판단에서는 그 예측을 얼마나 믿을 수 있는지, 언제 판단을 미뤄야 하는지도 함께 알아야 한다. 예측값과 함께 불확실성의 폭을 내는 분위 예측 모형으로 Temporal Fusion Transformer(TFT)가 있으나, 모든 시점에서 어텐션을 수행하여 계산 비용이 크다. 계산이 가벼운 패치 기반 트랜스포머는 하나의 예측값만 낸다. 이에 본 논문에서는 패치 기반 트랜스포머에 TFT의 분위 예측 기능과 변수선택망을 결합한 경량 모형을 제안한다. 변수선택망은 입력 채널을 인코더 앞에서 하나로 축약하여 인코더를 한 번만 실행시키는 장치로 쓴다. 여기에 예측 구간이 이례적으로 넓을 때 판단을 보류하는 기권 규칙을 함께 적용하였다.</w:t>
      </w:r>
    </w:p>
    <w:p>
      <w:pPr>
        <w:wordWrap w:val="0"/>
        <w:autoSpaceDE w:val="0"/>
        <w:autoSpaceDN w:val="0"/>
        <w:spacing w:after="80" w:before="0" w:line="324" w:lineRule="auto"/>
        <w:jc w:val="both"/>
      </w:pPr>
      <w:r>
        <w:rPr>
          <w:rFonts w:ascii="Times New Roman" w:hAnsi="Times New Roman" w:eastAsia="신명조"/>
          <w:b w:val="0"/>
          <w:i w:val="0"/>
          <w:sz w:val="15"/>
        </w:rPr>
        <w:t>2015년 이후 코스피200 구성종목 201개의 일별 자료로 평가하였다. 다섯 번의 반복 실험 모두에서, 조기종료에 쓰인 검증구간과 쓰이지 않은 평가구간 양쪽에서 제안 모형의 오차가 TFT보다 작았다. 학습 시간과 추론 시간은 TFT보다 각각 3.8배, 4.8배 짧았고 메모리는 5.1배 적었다. 시장 변동성이 클수록 예측 구간이 넓어져, 판단 보류는 변동성 최상위 25% 후보의 20.1%, 최하위 25% 후보의 0.2%에서 일어났다. 보류된 예측의 오차는 실행된 예측의 약 1.5배로, 최근 변동성만 보고 보류하는 단순 규칙보다 큰 오차를 잘 걸러냈다. 평가 기간 자료가 입력 설계와 기권 기준 선택에 참고되었으므로 보고 수치는 완전한 사후 검증 값이 아니며, 이를 포함한 한계는 6장에서 다룬다.</w:t>
      </w:r>
    </w:p>
    <w:p>
      <w:pPr>
        <w:wordWrap w:val="0"/>
        <w:autoSpaceDE w:val="0"/>
        <w:autoSpaceDN w:val="0"/>
        <w:spacing w:after="200" w:before="0" w:line="300" w:lineRule="auto"/>
      </w:pPr>
      <w:r>
        <w:rPr>
          <w:rFonts w:ascii="Times New Roman" w:hAnsi="Times New Roman" w:eastAsia="태고딕"/>
          <w:b w:val="0"/>
          <w:i w:val="0"/>
          <w:sz w:val="15"/>
        </w:rPr>
        <w:t>키워드 : 시계열 트랜스포머, 분위회귀, 변수선택망, 예측 불확실성, 기권</w:t>
      </w:r>
    </w:p>
    <w:p>
      <w:pPr>
        <w:wordWrap w:val="0"/>
        <w:autoSpaceDE w:val="0"/>
        <w:autoSpaceDN w:val="0"/>
        <w:spacing w:after="20" w:before="0" w:line="276" w:lineRule="auto"/>
      </w:pPr>
      <w:r>
        <w:rPr>
          <w:rFonts w:ascii="Times New Roman" w:hAnsi="Times New Roman" w:eastAsia="신명조"/>
          <w:b w:val="0"/>
          <w:i w:val="0"/>
          <w:sz w:val="14"/>
        </w:rPr>
        <w:t>† 비 회 원 : 동아대학교 컴퓨터공학과 학부생</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부교수</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조교수</w:t>
      </w:r>
    </w:p>
    <w:p>
      <w:pPr>
        <w:wordWrap w:val="0"/>
        <w:autoSpaceDE w:val="0"/>
        <w:autoSpaceDN w:val="0"/>
        <w:spacing w:after="20" w:before="0" w:line="276" w:lineRule="auto"/>
      </w:pPr>
      <w:r>
        <w:rPr>
          <w:rFonts w:ascii="Times New Roman" w:hAnsi="Times New Roman" w:eastAsia="신명조"/>
          <w:b w:val="0"/>
          <w:i w:val="0"/>
          <w:sz w:val="14"/>
        </w:rPr>
        <w:t>Manuscript Received :</w:t>
      </w:r>
    </w:p>
    <w:p>
      <w:pPr>
        <w:wordWrap w:val="0"/>
        <w:autoSpaceDE w:val="0"/>
        <w:autoSpaceDN w:val="0"/>
        <w:spacing w:after="20" w:before="0" w:line="276" w:lineRule="auto"/>
      </w:pPr>
      <w:r>
        <w:rPr>
          <w:rFonts w:ascii="Times New Roman" w:hAnsi="Times New Roman" w:eastAsia="신명조"/>
          <w:b w:val="0"/>
          <w:i w:val="0"/>
          <w:sz w:val="14"/>
        </w:rPr>
        <w:t>First Revision :</w:t>
      </w:r>
    </w:p>
    <w:p>
      <w:pPr>
        <w:wordWrap w:val="0"/>
        <w:autoSpaceDE w:val="0"/>
        <w:autoSpaceDN w:val="0"/>
        <w:spacing w:after="20" w:before="0" w:line="276" w:lineRule="auto"/>
      </w:pPr>
      <w:r>
        <w:rPr>
          <w:rFonts w:ascii="Times New Roman" w:hAnsi="Times New Roman" w:eastAsia="신명조"/>
          <w:b w:val="0"/>
          <w:i w:val="0"/>
          <w:sz w:val="14"/>
        </w:rPr>
        <w:t>Accepted :</w:t>
      </w:r>
    </w:p>
    <w:p>
      <w:pPr>
        <w:wordWrap w:val="0"/>
        <w:autoSpaceDE w:val="0"/>
        <w:autoSpaceDN w:val="0"/>
        <w:spacing w:after="20" w:before="0" w:line="276" w:lineRule="auto"/>
      </w:pPr>
      <w:r>
        <w:rPr>
          <w:rFonts w:ascii="Times New Roman" w:hAnsi="Times New Roman" w:eastAsia="신명조"/>
          <w:b w:val="0"/>
          <w:i w:val="0"/>
          <w:sz w:val="14"/>
        </w:rPr>
        <w:t>* Corresponding Authors : Jeongil Seo(jeongilseo@dau.ac.kr), Juhan Yoo(unchinto@dau.ac.kr)</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다수는 최신 구조를 새 자료에 이식하거나 손실함수와 초매개변수를 조정하여 지표를 개선하는 방식이며, 구조를 과업의 요구사항으로부터 도출하지는 않는다. 그 경우 모형 선택의 근거가 성능 지표 외에 남지 않아 결과를 사후에 설명하기 어렵다.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필요하며 후자에는 TFT의 변수선택망을 쓴다.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더 나쁜 판단을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헤드와 변수선택망을 부품으로 채택하고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연구[14]와 다수의 머신러닝 기법을 자산가격 결정에 적용한 연구[15]가 대표적이다. 국내에서는 해외지수와 투자자별 매매 동향을 입력으로 삼은 등락 예측[2], 가중 손실 함수를 적용한 순환 합성곱 구조[16]가 보고되었다. 본 연구는 [2]와 마찬가지로 해외지수와 투자자 수급을 입력에 포함하되, 이를 별도 경로의 크로스어텐션으로 주입하고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부재하다는 점은 이 분야 문헌의 공통 약점이므로, 본 연구는 동일 조건의 그래디언트 부스팅 기준모형을 함께 측정하여 5장에 보고한다.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α</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val="0"/>
          <w:sz w:val="18"/>
        </w:rPr>
        <w:t xml:space="preserve"> = Σ </w:t>
      </w:r>
      <w:r>
        <w:rPr>
          <w:rFonts w:ascii="Times New Roman" w:hAnsi="Times New Roman" w:eastAsia="신명조"/>
          <w:b w:val="0"/>
          <w:i/>
          <w:sz w:val="18"/>
        </w:rPr>
        <w:t>α</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이전 설정(17채널)에서 순전파를 실측한 결과 259ms에서 52ms로 5배 단축되었다. </w:t>
      </w:r>
      <w:r>
        <w:rPr>
          <w:rFonts w:ascii="Times New Roman" w:hAnsi="Times New Roman" w:eastAsia="신명조"/>
          <w:b w:val="0"/>
          <w:i/>
          <w:sz w:val="18"/>
        </w:rPr>
        <w:t>α</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0.12M으로 줄면서도 정확도와 보류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TimeXer[17]가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 1·2·3일 보조 지평은 패널에 생성해 두었으나 본 실험의 세 모형은 사용하지 않았으며, 출력은 5일 지평의 세 분위뿐이다.</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All transformer rows were trained on Kaggle GPUs under identical mixed-precision settings and evaluated on one device. The quantile gradient-boosting row is a single run, since the fit has no random component. The unconditional-quantile baseline is 0.012175 on validation and 0.018754 on test. With all three models in single precision, one run each, the test improvements are +5.25% for the proposed model, +3.30% for TFT and +2.25% for PatchTST with the quantile head, so the ordering is unchanged. The original point-forecast PatchTST is left out: scored as three identical quantiles it falls 47.79% below the baseline, which reflects the loss function rather than a comparison</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0.012166 ± 0.000022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0.018686 ± 0.000130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+0.36%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375 trees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0.011890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+2.34%</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0.018107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 (PatchTST x TFT)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검정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 날짜를 표본으로 보는 검정이므로 짧은 구간에서는 검정력이 약하다. 분위 헤드만 부착한 PatchTST는 검증구간 +0.07%, 검정구간 +0.36%로 상수 예측을 간신히 상회하는 데 그쳤고, 다섯 시드 가운데 네 시드는 첫 회차에서 최적값에 도달하였다.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부스팅(LightGBM[18]의 방식을 따른 scikit-learn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검정구간 손실은 TFT 원본보다 작고 제안 모형보다 컸다. 제안 모형의 다섯 시드는 모두 이 값보다 낮았다(최대 0.017895 대 0.018107).</w:t>
      </w:r>
    </w:p>
    <w:p>
      <w:pPr>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2.00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줄이고 변수선택망의 선행 배치가 채널 반복을 제거한 결과이며, 모수 1.4배 차이는 부차적이다. 같은 배율은 장비와 배치가 다른 조건에서도 재현된다 — &lt;Table 4&gt;를 얻은 캐글 GPU(배치 256, 혼합정밀도)에서 제안 모형 41.8초/epoch, TFT 원본 157.1초/epoch였다.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제안 모형이 파레토 전선 위에 있다.</w:t>
      </w:r>
    </w:p>
    <w:p>
      <w:pPr>
        <w:spacing w:after="40"/>
        <w:jc w:val="center"/>
      </w:pPr>
      <w:r>
        <w:drawing>
          <wp:inline xmlns:a="http://schemas.openxmlformats.org/drawingml/2006/main" xmlns:pic="http://schemas.openxmlformats.org/drawingml/2006/picture">
            <wp:extent cx="2916000" cy="2232562"/>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32562"/>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original point-forecast PatchTST is omitted because its pinball loss falls far below the plotted range.</w:t>
      </w: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네 분위 모형에 4.4절의 동일한 기권 규칙을 적용하고 검정구간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for TFT and the proposed model and a single run for the quantile GBDT.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5.24 ± 0.32%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 ± 2.04%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8.02 ± 2.75%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0.02127 ± 0.00171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0.01855 ± 0.00022</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0.02622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머물러(셋 중 하나를 빼도 유지된다, 5.4절)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검정구간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The sign test counts the seeds on which the proposed model has the lower test loss. The last column is the difference between the abstained-to-retained loss ratio of the width rule and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Variant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 pinball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Ours lower</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 abstain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Ratio gap at 6%</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0.017826 ± 0.000059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+4.95%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20.07 ± 0.71%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+0.064 ± 0.029</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VSN to linear merge</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0.117M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0.017837 ± 0.000078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+4.89%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19.90 ± 0.18%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+0.057 ± 0.007</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 macro cross-attention</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0.468M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0.017786 ± 0.000029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+5.16%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20.51 ± 0.46%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+0.080 ± 0.035</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검정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기능과 변수선택망을 결합하고, 변수선택망을 인코더 앞에 두어 인코더 실행 횟수를 1회로 줄였다.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원본과 대등하거나 근소하게 낮은 오차를 약 4분의 1의 비용으로 달성하였다. 다섯 번의 반복 실험을 짝지은 열 번의 비교 전부에서 제안 모형의 손실이 낮았고, 조기종료에 쓰이지 않은 평가 구간에서는 날짜 단위 DM 검정도 다섯 시드 모두 유의하였다. 학습 시간은 3.8배, 종목당 추론 시간은 4.8배 짧았고, 활성값 메모리는 5.1배 적었다.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다만 분위 GBDT도 같은 비교에서 대등한 보류 품질을 보였으므로 이 성질은 트랜스포머 구조에 고유하지 않다.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평가는 평가 기간 자료가 입력 설계와 기권 기준 선택에 일부 참고되었고, 현재 시점의 구성종목으로 유니버스를 정하였으므로 완전한 사후 검증은 아니다. 또한 구성요소별 기여는 단일 제거 실험에서 뚜렷이 구분되지 않았고(5.4절), 예측 구간의 절대 포함률은 명목 수준보다 낮아 구간 자체를 신뢰구간으로 해석해서는 안 된다. 향후 새로 쌓이는 자료로 표본 밖 검증을 수행할 계획이다.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[1] O. B. Sezer, M. U. Gudelek, and A. M. Ozbayoglu, "Financial time series forecasting with deep learning: A systematic literature review: 2005-2019," Applied Soft Computing,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[2] T. S. Kim and S. Lee, "Deep learning-based stock fluctuation prediction according to overseas indices and trading trends," KIPS Transactions on Software and Data Engineering,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[3] A. Vaswani, N. Shazeer, N. Parmar, J. Uszkoreit, L. Jones, A. N. Gomez, L. Kaiser, and I. Polosukhin, "Attention is all you need," in Advances in Neural Information Processing Systems, 2017, pp.5998-6008.</w:t>
      </w:r>
    </w:p>
    <w:p>
      <w:pPr>
        <w:wordWrap w:val="0"/>
        <w:autoSpaceDE w:val="0"/>
        <w:autoSpaceDN w:val="0"/>
        <w:spacing w:after="40" w:before="0" w:line="300" w:lineRule="auto"/>
        <w:ind w:hanging="280" w:left="280"/>
      </w:pPr>
      <w:r>
        <w:rPr>
          <w:rFonts w:ascii="Times New Roman" w:hAnsi="Times New Roman" w:eastAsia="신명조"/>
          <w:b w:val="0"/>
          <w:i w:val="0"/>
          <w:sz w:val="17"/>
        </w:rPr>
        <w:t>[4] H. Zhou, S. Zhang, J. Peng, S. Zhang, J. Li, H. Xiong, and W. Zhang, "Informer: Beyond efficient transformer for long sequence time-series forecasting," in Proceedings of the AAAI Conference on Artificial Intelligence, 2021, pp.11106-11115.</w:t>
      </w:r>
    </w:p>
    <w:p>
      <w:pPr>
        <w:wordWrap w:val="0"/>
        <w:autoSpaceDE w:val="0"/>
        <w:autoSpaceDN w:val="0"/>
        <w:spacing w:after="40" w:before="0" w:line="300" w:lineRule="auto"/>
        <w:ind w:hanging="280" w:left="280"/>
      </w:pPr>
      <w:r>
        <w:rPr>
          <w:rFonts w:ascii="Times New Roman" w:hAnsi="Times New Roman" w:eastAsia="신명조"/>
          <w:b w:val="0"/>
          <w:i w:val="0"/>
          <w:sz w:val="17"/>
        </w:rPr>
        <w:t>[5] H. Wu, J. Xu, J. Wang, and M. Long, "Autoformer: Decomposition transformers with auto-correlation for long-term series forecasting," in Advances in Neural Information Processing Systems, 2021, pp.22419-22430.</w:t>
      </w:r>
    </w:p>
    <w:p>
      <w:pPr>
        <w:wordWrap w:val="0"/>
        <w:autoSpaceDE w:val="0"/>
        <w:autoSpaceDN w:val="0"/>
        <w:spacing w:after="40" w:before="0" w:line="300" w:lineRule="auto"/>
        <w:ind w:hanging="280" w:left="280"/>
      </w:pPr>
      <w:r>
        <w:rPr>
          <w:rFonts w:ascii="Times New Roman" w:hAnsi="Times New Roman" w:eastAsia="신명조"/>
          <w:b w:val="0"/>
          <w:i w:val="0"/>
          <w:sz w:val="17"/>
        </w:rPr>
        <w:t>[6] A. Zeng, M. Chen, L. Zhang, and Q. Xu, "Are transformers effective for time series forecasting?," in Proceedings of the AAAI Conference on Artificial Intelligence, 2023, pp.11121-11128.</w:t>
      </w:r>
    </w:p>
    <w:p>
      <w:pPr>
        <w:wordWrap w:val="0"/>
        <w:autoSpaceDE w:val="0"/>
        <w:autoSpaceDN w:val="0"/>
        <w:spacing w:after="40" w:before="0" w:line="300" w:lineRule="auto"/>
        <w:ind w:hanging="280" w:left="280"/>
      </w:pPr>
      <w:r>
        <w:rPr>
          <w:rFonts w:ascii="Times New Roman" w:hAnsi="Times New Roman" w:eastAsia="신명조"/>
          <w:b w:val="0"/>
          <w:i w:val="0"/>
          <w:sz w:val="17"/>
        </w:rPr>
        <w:t>[7] Y. Nie, N. H. Nguyen, P. Sinthong, and J. Kalagnanam, "A time series is worth 64 words: Long-term forecasting with transformers," in Proceedings of the International Conference on Learning Representations, 2023.</w:t>
      </w:r>
    </w:p>
    <w:p>
      <w:pPr>
        <w:wordWrap w:val="0"/>
        <w:autoSpaceDE w:val="0"/>
        <w:autoSpaceDN w:val="0"/>
        <w:spacing w:after="40" w:before="0" w:line="300" w:lineRule="auto"/>
        <w:ind w:hanging="280" w:left="280"/>
      </w:pPr>
      <w:r>
        <w:rPr>
          <w:rFonts w:ascii="Times New Roman" w:hAnsi="Times New Roman" w:eastAsia="신명조"/>
          <w:b w:val="0"/>
          <w:i w:val="0"/>
          <w:sz w:val="17"/>
        </w:rPr>
        <w:t>[8] B. Lim, S. O. Arik, N. Loeff, and T. Pfister, "Temporal fusion transformers for interpretable multi-horizon time series forecasting," International Journal of Forecasting,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[9] I. K. Kim, D. H. Kim, and J. Lee, "Temporal fusion transformers and deep learning methods for multi-horizon time series forecasting," KIPS Transactions on Software and Data Engineering,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[10] D.-K. Kim and K. Kim, "Style-based transformer for time series forecasting," KIPS Transactions on Software and Data Engineering,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[11] T. Kim, J. Kim, Y. Tae, C. Park, J.-H. Choi, and J. Choo, "Reversible instance normalization for accurate time-series forecasting against distribution shift," in Proceedings of the International Conference on Learning Representations, 2022.</w:t>
      </w:r>
    </w:p>
    <w:p>
      <w:pPr>
        <w:wordWrap w:val="0"/>
        <w:autoSpaceDE w:val="0"/>
        <w:autoSpaceDN w:val="0"/>
        <w:spacing w:after="40" w:before="0" w:line="300" w:lineRule="auto"/>
        <w:ind w:hanging="280" w:left="280"/>
      </w:pPr>
      <w:r>
        <w:rPr>
          <w:rFonts w:ascii="Times New Roman" w:hAnsi="Times New Roman" w:eastAsia="신명조"/>
          <w:b w:val="0"/>
          <w:i w:val="0"/>
          <w:sz w:val="17"/>
        </w:rPr>
        <w:t>[12] R. Koenker and G. Bassett, "Regression quantiles," Econometrica,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[13] Y. Romano, E. Patterson, and E. J. Candes, "Conformalized quantile regression," in Advances in Neural Information Processing Systems, 2019, pp.3543-3553.</w:t>
      </w:r>
    </w:p>
    <w:p>
      <w:pPr>
        <w:wordWrap w:val="0"/>
        <w:autoSpaceDE w:val="0"/>
        <w:autoSpaceDN w:val="0"/>
        <w:spacing w:after="40" w:before="0" w:line="300" w:lineRule="auto"/>
        <w:ind w:hanging="280" w:left="280"/>
      </w:pPr>
      <w:r>
        <w:rPr>
          <w:rFonts w:ascii="Times New Roman" w:hAnsi="Times New Roman" w:eastAsia="신명조"/>
          <w:b w:val="0"/>
          <w:i w:val="0"/>
          <w:sz w:val="17"/>
        </w:rPr>
        <w:t>[14] T. Fischer and C. Krauss, "Deep learning with long short-term memory networks for financial market predictions," European Journal of Operational Research,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[15] S. Gu, B. Kelly, and D. Xiu, "Empirical asset pricing via machine learning," The Review of Financial Studies,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[16] H. J. Kim and Y. S. Jung, "A stock price prediction based on recurrent convolution neural network with weighted loss function," KIPS Transactions on Software and Data Engineering,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[17] Y. Wang, H. Wu, J. Dong, G. Qin, H. Zhang, Y. Liu, Y. Qiu, J. Wang, and M. Long, "TimeXer: Empowering transformers for time series forecasting with exogenous variables," in Advances in Neural Information Processing Systems, 2024.</w:t>
      </w:r>
    </w:p>
    <w:p>
      <w:pPr>
        <w:wordWrap w:val="0"/>
        <w:autoSpaceDE w:val="0"/>
        <w:autoSpaceDN w:val="0"/>
        <w:spacing w:after="40" w:before="0" w:line="300" w:lineRule="auto"/>
        <w:ind w:hanging="280" w:left="280"/>
      </w:pPr>
      <w:r>
        <w:rPr>
          <w:rFonts w:ascii="Times New Roman" w:hAnsi="Times New Roman" w:eastAsia="신명조"/>
          <w:b w:val="0"/>
          <w:i w:val="0"/>
          <w:sz w:val="17"/>
        </w:rPr>
        <w:t>[18] G. Ke, Q. Meng, T. Finley, T. Wang, W. Chen, W. Ma, Q. Ye, and T.-Y. Liu, "LightGBM: A highly efficient gradient boosting decision tree," in Advances in Neural Information Processing Systems, 2017, pp.3146-3154.</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박 성 준</w:t>
            </w:r>
          </w:p>
          <w:p>
            <w:pPr>
              <w:wordWrap w:val="0"/>
              <w:autoSpaceDE w:val="0"/>
              <w:autoSpaceDN w:val="0"/>
              <w:spacing w:after="20" w:before="0" w:line="300" w:lineRule="auto"/>
            </w:pPr>
            <w:r>
              <w:rPr>
                <w:rFonts w:ascii="Times New Roman" w:hAnsi="Times New Roman" w:eastAsia="신명조"/>
                <w:b w:val="0"/>
                <w:i w:val="0"/>
                <w:sz w:val="17"/>
              </w:rPr>
              <w:t>https://orcid.org/0009-0004-9626-5165</w:t>
            </w:r>
          </w:p>
          <w:p>
            <w:pPr>
              <w:wordWrap w:val="0"/>
              <w:autoSpaceDE w:val="0"/>
              <w:autoSpaceDN w:val="0"/>
              <w:spacing w:after="20" w:before="0" w:line="300" w:lineRule="auto"/>
            </w:pPr>
            <w:r>
              <w:rPr>
                <w:rFonts w:ascii="Times New Roman" w:hAnsi="Times New Roman" w:eastAsia="신명조"/>
                <w:b w:val="0"/>
                <w:i w:val="0"/>
                <w:sz w:val="17"/>
              </w:rPr>
              <w:t>e-mail : appop001@naver.com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김 지 민</w:t>
            </w:r>
          </w:p>
          <w:p>
            <w:pPr>
              <w:wordWrap w:val="0"/>
              <w:autoSpaceDE w:val="0"/>
              <w:autoSpaceDN w:val="0"/>
              <w:spacing w:after="20" w:before="0" w:line="300" w:lineRule="auto"/>
            </w:pPr>
            <w:r>
              <w:rPr>
                <w:rFonts w:ascii="Times New Roman" w:hAnsi="Times New Roman" w:eastAsia="신명조"/>
                <w:b w:val="0"/>
                <w:i w:val="0"/>
                <w:sz w:val="17"/>
              </w:rPr>
              <w:t>https://orcid.org/0009-0004-4645-227X</w:t>
            </w:r>
          </w:p>
          <w:p>
            <w:pPr>
              <w:wordWrap w:val="0"/>
              <w:autoSpaceDE w:val="0"/>
              <w:autoSpaceDN w:val="0"/>
              <w:spacing w:after="20" w:before="0" w:line="300" w:lineRule="auto"/>
            </w:pPr>
            <w:r>
              <w:rPr>
                <w:rFonts w:ascii="Times New Roman" w:hAnsi="Times New Roman" w:eastAsia="신명조"/>
                <w:b w:val="0"/>
                <w:i w:val="0"/>
                <w:sz w:val="17"/>
              </w:rPr>
              <w:t>e-mail : bckck@naver.com</w:t>
            </w:r>
          </w:p>
          <w:p>
            <w:pPr>
              <w:wordWrap w:val="0"/>
              <w:autoSpaceDE w:val="0"/>
              <w:autoSpaceDN w:val="0"/>
              <w:spacing w:after="20" w:before="0" w:line="300" w:lineRule="auto"/>
            </w:pPr>
            <w:r>
              <w:rPr>
                <w:rFonts w:ascii="Times New Roman" w:hAnsi="Times New Roman" w:eastAsia="신명조"/>
                <w:b w:val="0"/>
                <w:i w:val="0"/>
                <w:sz w:val="17"/>
              </w:rPr>
              <w:t>2020년～현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권 오 재</w:t>
            </w:r>
          </w:p>
          <w:p>
            <w:pPr>
              <w:wordWrap w:val="0"/>
              <w:autoSpaceDE w:val="0"/>
              <w:autoSpaceDN w:val="0"/>
              <w:spacing w:after="20" w:before="0" w:line="300" w:lineRule="auto"/>
            </w:pPr>
            <w:r>
              <w:rPr>
                <w:rFonts w:ascii="Times New Roman" w:hAnsi="Times New Roman" w:eastAsia="신명조"/>
                <w:b w:val="0"/>
                <w:i w:val="0"/>
                <w:sz w:val="17"/>
              </w:rPr>
              <w:t>https://orcid.org/0009-0002-9537-5317</w:t>
            </w:r>
          </w:p>
          <w:p>
            <w:pPr>
              <w:wordWrap w:val="0"/>
              <w:autoSpaceDE w:val="0"/>
              <w:autoSpaceDN w:val="0"/>
              <w:spacing w:after="20" w:before="0" w:line="300" w:lineRule="auto"/>
            </w:pPr>
            <w:r>
              <w:rPr>
                <w:rFonts w:ascii="Times New Roman" w:hAnsi="Times New Roman" w:eastAsia="신명조"/>
                <w:b w:val="0"/>
                <w:i w:val="0"/>
                <w:sz w:val="17"/>
              </w:rPr>
              <w:t>e-mail : rnjsdhwo4@naver.com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송 하 얼</w:t>
            </w:r>
          </w:p>
          <w:p>
            <w:pPr>
              <w:wordWrap w:val="0"/>
              <w:autoSpaceDE w:val="0"/>
              <w:autoSpaceDN w:val="0"/>
              <w:spacing w:after="20" w:before="0" w:line="300" w:lineRule="auto"/>
            </w:pPr>
            <w:r>
              <w:rPr>
                <w:rFonts w:ascii="Times New Roman" w:hAnsi="Times New Roman" w:eastAsia="신명조"/>
                <w:b w:val="0"/>
                <w:i w:val="0"/>
                <w:sz w:val="17"/>
              </w:rPr>
              <w:t>https://orcid.org/0009-0007-5429-4154</w:t>
            </w:r>
          </w:p>
          <w:p>
            <w:pPr>
              <w:wordWrap w:val="0"/>
              <w:autoSpaceDE w:val="0"/>
              <w:autoSpaceDN w:val="0"/>
              <w:spacing w:after="20" w:before="0" w:line="300" w:lineRule="auto"/>
            </w:pPr>
            <w:r>
              <w:rPr>
                <w:rFonts w:ascii="Times New Roman" w:hAnsi="Times New Roman" w:eastAsia="신명조"/>
                <w:b w:val="0"/>
                <w:i w:val="0"/>
                <w:sz w:val="17"/>
              </w:rPr>
              <w:t>e-mail : 2337310@donga.ac.kr</w:t>
            </w:r>
          </w:p>
          <w:p>
            <w:pPr>
              <w:wordWrap w:val="0"/>
              <w:autoSpaceDE w:val="0"/>
              <w:autoSpaceDN w:val="0"/>
              <w:spacing w:after="20" w:before="0" w:line="300" w:lineRule="auto"/>
            </w:pPr>
            <w:r>
              <w:rPr>
                <w:rFonts w:ascii="Times New Roman" w:hAnsi="Times New Roman" w:eastAsia="신명조"/>
                <w:b w:val="0"/>
                <w:i w:val="0"/>
                <w:sz w:val="17"/>
              </w:rPr>
              <w:t>2023년～현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서 정 일</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jeongilseo@dau.ac.kr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부교수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유 주 한</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unchinto@dau.ac.kr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조교수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