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Model for Stock Returns Combining Patch Tokenization and Variable Selection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Most stock forecasting models give a single answer to whether a price will rise or fall. In practice, an investor also needs to know how far that answer can be trusted and when to hold off. The Temporal Fusion Transformer (TFT) forecasts quantiles rather than a single value, but it attends to every time step and is therefore expensive. Patch-based transformers are inexpensive but produce only a single value. This paper combines the two. We equip a patch-based transformer with the quantile forecasting of TFT and with its variable selection network, placed before the encoder so that the channel axis collapses into one and the encoder runs a single time. A rule withholds a decision when the prediction interval is unusually wide. On daily data for 201 KOSPI 200 stocks since 2015, the model had a lower loss than TFT in all five repeated runs, on both the validation split that early stopping had used and the test split that it had not, while training 3.8 times and running inference 4.8 times faster and using 5.1 times less activation memory. Its prediction intervals widened in volatile markets, so withheld decisions concentrated there. The withheld forecasts carried about 1.5 times the error of those acted on, a sharper separation than a simple volatility rule achieved. Because the evaluation period informed parts of the design, the figures are not fully out of sample. Section 6 states this and the remaining limitations.</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Variable Selection Network,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패치 토큰화와 변수선택망을 결합한 주가 수익률 경량 분위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 모형은 대부분 "오를 것인가, 내릴 것인가"에 대해 하나의 답만 내놓는다. 그러나 실제 투자 판단에서는 그 예측을 얼마나 믿을 수 있는지, 언제 판단을 미뤄야 하는지도 함께 알아야 한다. 예측값과 함께 불확실성의 폭을 내는 분위 예측 모형으로 Temporal Fusion Transformer(TFT)가 있으나, 모든 시점에서 어텐션을 수행하여 계산 비용이 크다. 계산이 가벼운 패치 기반 트랜스포머는 하나의 예측값만 낸다. 이에 본 논문에서는 패치 기반 트랜스포머에 TFT의 분위 예측 기능과 변수선택망을 결합한 경량 모형을 제안한다. 변수선택망은 입력 채널을 인코더 앞에서 하나로 축약하여 인코더를 한 번만 실행시키는 장치로 쓴다. 여기에 예측 구간이 이례적으로 넓을 때 판단을 보류하는 기권 규칙을 함께 적용하였다.</w:t>
      </w:r>
    </w:p>
    <w:p>
      <w:pPr>
        <w:wordWrap w:val="0"/>
        <w:autoSpaceDE w:val="0"/>
        <w:autoSpaceDN w:val="0"/>
        <w:spacing w:after="80" w:before="0" w:line="324" w:lineRule="auto"/>
        <w:jc w:val="both"/>
      </w:pPr>
      <w:r>
        <w:rPr>
          <w:rFonts w:ascii="Times New Roman" w:hAnsi="Times New Roman" w:eastAsia="신명조"/>
          <w:b w:val="0"/>
          <w:i w:val="0"/>
          <w:sz w:val="15"/>
        </w:rPr>
        <w:t>2015년 이후 코스피200 구성종목 201개의 일별 자료로 평가하였다. 다섯 번의 반복 실험 모두에서, 조기종료에 쓰인 검증구간과 쓰이지 않은 평가구간 양쪽에서 제안 모형의 오차가 TFT보다 작았다. 학습 시간과 추론 시간은 TFT보다 각각 3.8배, 4.8배 짧았고 메모리는 5.1배 적었다. 시장 변동성이 클수록 예측 구간이 넓어져, 판단 보류는 변동성 최상위 25% 후보의 20.1%, 최하위 25% 후보의 0.2%에서 일어났다. 보류된 예측의 오차는 실행된 예측의 약 1.5배로, 최근 변동성만 보고 보류하는 단순 규칙보다 큰 오차를 잘 걸러냈다. 평가 기간 자료가 입력 설계와 기권 기준 선택에 참고되었으므로 보고 수치는 완전한 사후 검증 값이 아니며, 이를 포함한 한계는 6장에서 다룬다.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변수선택망, 예측 불확실성, 기권</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다수는 최신 구조를 새 자료에 이식하거나 손실함수와 초매개변수를 조정하여 지표를 개선하는 방식이며, 구조를 과업의 요구사항으로부터 도출하지는 않는다. 그 경우 모형 선택의 근거가 성능 지표 외에 남지 않아 결과를 사후에 설명하기 어렵다.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더 나쁜 판단을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이를 별도 경로의 크로스어텐션으로 주입하고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이전 설정(17채널)에서 순전파를 실측한 결과 259ms에서 52ms로 5배 단축되었다.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 1·2·3일 보조 지평은 패널에 생성해 두었으나 본 실험의 세 모형은 사용하지 않았으며, 출력은 5일 지평의 세 분위뿐이다.</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원본과 대등하거나 근소하게 낮은 오차를 약 4분의 1의 비용으로 달성하였다. 다섯 번의 반복 실험을 짝지은 열 번의 비교 전부에서 제안 모형의 손실이 낮았고, 조기종료에 쓰이지 않은 평가 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구성요소별 기여는 단일 제거 실험에서 뚜렷이 구분되지 않았고(5.4절), 예측 구간의 절대 포함률은 명목 수준보다 낮아 구간 자체를 신뢰구간으로 해석해서는 안 된다. 향후 새로 쌓이는 자료로 표본 밖 검증을 수행할 계획이다.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