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the validation split, which early stopping had already used, the two were comparable; on the held-out test split its improvement over the baseline was 2.2 times that of TFT. Training ran 3.8 times and inference 4.8 times faster. Its prediction intervals widened in volatile markets, so withheld decisions concentrated there. The withheld forecasts carried about 1.5 times the error of those acted on, a sharper separation than a simple volatility rule achieved. Its intervals tracked volatility less closely than those of TFT, and its directional accuracy was lower than that of a tree-based baseline. The model is therefore better suited to deciding when not to act than to picking stocks.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제안 모형이 TFT보다 오차가 작았다. 조기종료에 쓰인 검증구간에서는 두 모형이 대등했으나, 그 선택에 쓰이지 않은 평가 구간에서는 기준선 대비 개선폭이 2.2배 벌어졌다. 학습 시간과 추론 시간은 TFT보다 각각 3.8배, 4.8배 짧았다. 시장 변동성이 클수록 예측 구간이 넓어져, 판단 보류는 변동성 최상위 25% 후보의 20.6%, 최하위 25% 후보의 0.2%에서 일어났다. 보류된 예측의 오차는 실행된 예측의 약 1.5배로, 최근 변동성만 보고 보류하는 단순 규칙보다 큰 오차를 잘 걸러냈다. 다만 예측 구간이 변동성을 따라가는 정도는 TFT보다 낮았고, 오르내림 방향을 맞히는 능력은 트리 기반 기준모형보다 낮았다. 따라서 제안 모형은 종목을 고르는 용도보다 판단을 미룰 시점을 정하는 용도에 적합하다.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필요하다. 비용에는 패치 토큰화로 어텐션 대상 시퀀스를 줄이는 것과, 채널 축을 인코더 앞에서 하나로 모으는 장치가 필요하다. 후자에는 TFT의 변수선택망을 쓴다. PatchTST를 그대로 쓰면 첫째 요구를 충족하지 못하고, TFT를 그대로 쓰면 둘째 요구를 충족하지 못한다. 제안 구조는 두 요구사항을 충족하도록 기존 구성요소를 조합한 것이며, 본 연구는 이를 정확도·비용·기권 행태의 세 축에서 검증한다.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구체적 질문은 두 가지이다. (1) 재조합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구성은 다음과 같다. 2장에서는 패치 기반 트랜스포머와 분위 예측·변수선택 구조, 분위 회귀에 관한 관련 연구를 정리한다. 3장에서는 요구사항으로부터 제안 구조를 도출하고 결합 과정의 설계 결정을 기술한다. 4장에서는 자료, 분할, 기권 규칙을 포함한 실험 설계를, 5장에서는 정확도·비용·기권 행태와 예측구간의 교정 상태에 대한 실험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문제이므로, 본 연구는 등각예측을 분위회귀에 결합한 방법[13]으로 교정 상태를 5.4절에서 점검한다.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구체적으로 종목 시퀀스를 질의로, 매크로 시퀀스를 키·값으로 두었다. 외생변수를 어텐션으로 주입하는 발상 자체는 새롭지 않다. TimeXer[14]가 같은 문제를 다루었으며, 외생 변수를 변수 단위 토큰으로 요약해 내생 패치 토큰과 교차시킨다. 본 연구의 모듈은 매크로 시퀀스를 패치 단위로 유지한 채 키와 값으로 둔다는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연구[15]와 다수의 머신러닝 기법을 자산가격 결정에 적용한 연구[16]가 대표적이다. 국내에서는 해외지수와 투자자별 매매 동향을 입력으로 삼은 등락 예측[2], 가중 손실 함수를 적용한 순환 합성곱 구조[17]가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공개 벤치마크 Qlib[18]에서는 그래디언트 부스팅 계열이 트랜스포머와 LSTM을 모두 상회한다고 보고된다(랭크 정보계수 0.047~0.051 대 0.041~0.044). 잘 조정된 단순 기준모형과의 공정한 비교가 부재하다는 점이 이 분야 문헌의 공통 약점이므로 본 연구는 동일 조건의 그래디언트 부스팅 기준모형을 함께 측정하였고, 그 결과는 6장의 한계에 밝혔다. 실질적 독립 사건 규모에서 미세조정이 성립하지 않는 시계열 기반모형은 비교에서 제외하였다.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채널 독립의 유지 근거</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실제로 그 방식을 썼다. 종목 채널에는 대신 변수선택망을 두었다. 소프트맥스 게이트가 정적 문맥으로 조건화되어 섹터와 시가총액 구간에 따라 다른 가중을 주기 때문이다. 다만 종목 채널까지 선형 합치기로 바꾼 변형과 정확도를 비교하지는 않았으므로, 게이트가 이 비용만큼의 값을 했는지는 가리지 못하였다(6장).</w:t>
      </w:r>
    </w:p>
    <w:p>
      <w:pPr>
        <w:wordWrap w:val="0"/>
        <w:autoSpaceDE w:val="0"/>
        <w:autoSpaceDN w:val="0"/>
        <w:spacing w:after="60" w:before="0" w:line="341" w:lineRule="auto"/>
      </w:pPr>
      <w:r>
        <w:rPr>
          <w:rFonts w:ascii="Times New Roman" w:hAnsi="Times New Roman" w:eastAsia="신명조"/>
          <w:b w:val="0"/>
          <w:i w:val="0"/>
          <w:sz w:val="18"/>
        </w:rPr>
        <w:t>2) 변수선택망의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변수선택망은 정적 문맥 </w:t>
      </w:r>
      <w:r>
        <w:rPr>
          <w:rFonts w:ascii="Times New Roman" w:hAnsi="Times New Roman" w:eastAsia="신명조"/>
          <w:b w:val="0"/>
          <w:i/>
          <w:sz w:val="18"/>
        </w:rPr>
        <w:t>c_s</w:t>
      </w:r>
      <w:r>
        <w:rPr>
          <w:rFonts w:ascii="Times New Roman" w:hAnsi="Times New Roman" w:eastAsia="신명조"/>
          <w:b w:val="0"/>
          <w:i w:val="0"/>
          <w:sz w:val="18"/>
        </w:rPr>
        <w:t>로 조건화된 소프트맥스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축을 그대로 받아 채널 수만큼 반복 실행된다. 앞에 두면 채널이 먼저 하나로 축약되어 인코더가 1회만 실행된다. 이전 설정(17채널)에서 순전파를 실측한 결과 259ms에서 52ms로 5배 단축되었다. 변수선택망이 패치 임베딩을 입력받아 채널을 가중하므로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남는다. 다만 본 연구는 이 값을 매매 근거로 제시하지 않는다(6장).</w:t>
      </w:r>
    </w:p>
    <w:p>
      <w:pPr>
        <w:wordWrap w:val="0"/>
        <w:autoSpaceDE w:val="0"/>
        <w:autoSpaceDN w:val="0"/>
        <w:spacing w:after="60" w:before="0" w:line="341" w:lineRule="auto"/>
      </w:pPr>
      <w:r>
        <w:rPr>
          <w:rFonts w:ascii="Times New Roman" w:hAnsi="Times New Roman" w:eastAsia="신명조"/>
          <w:b w:val="0"/>
          <w:i w:val="0"/>
          <w:sz w:val="18"/>
        </w:rPr>
        <w:t>3)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4)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헤드의 초기화도 성능에 영향을 주었다. 기본 초기화에서는 softplus(0) = 0.693이라 분위 간격이 윈도우 변동성 </w:t>
      </w:r>
      <w:r>
        <w:rPr>
          <w:rFonts w:ascii="Times New Roman" w:hAnsi="Times New Roman" w:eastAsia="신명조"/>
          <w:b w:val="0"/>
          <w:i/>
          <w:sz w:val="18"/>
        </w:rPr>
        <w:t>σ</w:t>
      </w:r>
      <w:r>
        <w:rPr>
          <w:rFonts w:ascii="Times New Roman" w:hAnsi="Times New Roman" w:eastAsia="신명조"/>
          <w:b w:val="0"/>
          <w:i w:val="0"/>
          <w:sz w:val="18"/>
        </w:rPr>
        <w:t xml:space="preserve"> 단위로 0.693씩 고정된다. 분위 출력에는 RevIN이 구한 </w:t>
      </w:r>
      <w:r>
        <w:rPr>
          <w:rFonts w:ascii="Times New Roman" w:hAnsi="Times New Roman" w:eastAsia="신명조"/>
          <w:b w:val="0"/>
          <w:i/>
          <w:sz w:val="18"/>
        </w:rPr>
        <w:t>σ</w:t>
      </w:r>
      <w:r>
        <w:rPr>
          <w:rFonts w:ascii="Times New Roman" w:hAnsi="Times New Roman" w:eastAsia="신명조"/>
          <w:b w:val="0"/>
          <w:i w:val="0"/>
          <w:sz w:val="18"/>
        </w:rPr>
        <w:t>, 즉 일간 수익률 채널의 윈도우 표준편차가 다시 곱해지므로 초기 q10~q90 폭은 1.386</w:t>
      </w:r>
      <w:r>
        <w:rPr>
          <w:rFonts w:ascii="Times New Roman" w:hAnsi="Times New Roman" w:eastAsia="신명조"/>
          <w:b w:val="0"/>
          <w:i/>
          <w:sz w:val="18"/>
        </w:rPr>
        <w:t>σ</w:t>
      </w:r>
      <w:r>
        <w:rPr>
          <w:rFonts w:ascii="Times New Roman" w:hAnsi="Times New Roman" w:eastAsia="신명조"/>
          <w:b w:val="0"/>
          <w:i w:val="0"/>
          <w:sz w:val="18"/>
        </w:rPr>
        <w:t xml:space="preserve">이고, 학습구간 평균 </w:t>
      </w:r>
      <w:r>
        <w:rPr>
          <w:rFonts w:ascii="Times New Roman" w:hAnsi="Times New Roman" w:eastAsia="신명조"/>
          <w:b w:val="0"/>
          <w:i/>
          <w:sz w:val="18"/>
        </w:rPr>
        <w:t>σ</w:t>
      </w:r>
      <w:r>
        <w:rPr>
          <w:rFonts w:ascii="Times New Roman" w:hAnsi="Times New Roman" w:eastAsia="신명조"/>
          <w:b w:val="0"/>
          <w:i w:val="0"/>
          <w:sz w:val="18"/>
        </w:rPr>
        <w:t>로 환산하면 0.035이다. 5일 수익률의 전체 분위 폭 0.124의 0.28배로, 목표 분포와 어긋난 지점에서 학습이 시작된다. 이 경우 검증 손실은 0.013993으로 기준선 0.013285보다 5.3% 열등하였다(이전 설정의 측정값이다). 최종층 편향을 학습자료의 무조건부 분위수로 설정하여 해소하였으며, 최종층 가중치는 작게 두되 0이면 기울기가 인코더까지 전달되지 않으므로 0이 아닌 작은 값으로 두었다.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이후 일별 자료이며, 종목당 최대 2,857거래일이다.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상이하여(공통 1,887일, 전체 2,857일) 공통 달력을 강제하면 34%의 자료가 소실되므로,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시가총액으로 고정하였다(6장). 요일은 개체의 고정 속성이 아니라 시점마다 달라지는 사전 알려진 공변량인데, 구현에서는 윈도우 마지막 날의 요일을 정적 입력으로 넣었다. TFT 용어의 known future input 에 해당하므로 분류가 정확하지 않다.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목표를 초과수익으로 정렬하는 과정에서 설계 하나가 바뀌었다. 모형에 지수 대비 상대 성과를 나타내는 채널이 없으면 검증구간과 검정구간의 방향 예측력 부호가 엇갈렸다. 상대강도와 베타, 그 횡단면 순위를 추가하여 동적 채널을 24개에서 30개로 늘린 뒤 두 구간의 부호가 일치하였다.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공유한다. 명목 학습 행 264,653건 가운데 비중첩 표본은 약 52,900건이고, 같은 날짜의 201개 종목이 시장 공통요인으로 묶이므로 날짜 단위로 세면 약 1,900거래일이다. 목표가 5일씩 겹치는 것까지 반영해 비중첩으로 세면 약 380개로 줄어든다. 이전 설정(146종목·17채널)의 탐색에서 더 큰 설정은 1~2회차에 과적합되었고, 같은 구조를 30채널로 확장한 결과가 0.50M이다.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look-ahead가 생기기 때문이고, 모의투자에서 실제로 쓰는 방식과도 같다.</w:t>
      </w:r>
    </w:p>
    <w:p>
      <w:pPr>
        <w:wordWrap w:val="0"/>
        <w:autoSpaceDE w:val="0"/>
        <w:autoSpaceDN w:val="0"/>
        <w:spacing w:after="80" w:before="0" w:line="341" w:lineRule="auto"/>
        <w:ind w:firstLine="180"/>
        <w:jc w:val="both"/>
      </w:pPr>
      <w:r>
        <w:rPr>
          <w:rFonts w:ascii="Times New Roman" w:hAnsi="Times New Roman" w:eastAsia="신명조"/>
          <w:b w:val="0"/>
          <w:i w:val="0"/>
          <w:sz w:val="18"/>
        </w:rPr>
        <w:t>임계값을 절대값으로 두었던 초기 설정은 학습이 2022년 하락장에서 끝난 탓에 구조적으로 도달 불가능해져 2.1년간 기권율이 95.8%에 달하였다. 최근 분포의 상대 순위로 전환한 것은 그 결함을 교정한 결과이다.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공유한다. 두 가지 제약을 먼저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 기준선은 세 모형 모두 0.012175로 동일하게 산출되어 통제가 작동하였음을 수치로 확인할 수 있다. TFT 원본과 제안 모형은 시드 42~46의 다섯 번씩을 같은 GPU·같은 혼합정밀도 설정으로 학습하여 검증·검정 두 구간의 평균과 표준편차를 보고한다. 분위 헤드만 부착한 PatchTST는 기준선 대비 격차가 +0.26%로 시드 변동의 범위를 크게 벗어나므로 단일 실행값을 보고한다. &lt;Table 4&gt;가 예측 정확도이다.</w:t>
      </w: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TFT and the proposed model were trained on one GPU under identical mixed-precision settings. The unconditional-quantile baseline is 0.012175 on validation and 0.018753 on test. The PatchTST row is a single run on a Mac MPS backend and its test figure was not computed. The original point-forecast PatchTST is left out: scored as three identical quantiles it falls 47.79% below the baseline, which reflects the loss function rather than a comparison</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0.012143</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+0.26%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결과는 세 가지로 해석된다. 첫째, 분위 헤드만 부착해서는 충분하지 않다. 해당 설정은 +0.26%로 상수 예측을 간신히 상회하는 데 그쳤으며 변수선택·정적 문맥·매크로 입력이 결여되어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둘째, 검증구간에서 TFT 원본과 제안 모형은 대등하다. 격차는 핀볼 손실 0.000046으로 기준선 대비 개선폭(0.000286)의 16%에 그친다. 다섯 시드에서 두 분포의 범위는 겹치지 않고, 시드를 짝지어 보아도 다섯 쌍 모두 제안 모형이 낮았다(부호검정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평균 차이에 대한 Welch 검정은 </w:t>
      </w:r>
      <w:r>
        <w:rPr>
          <w:rFonts w:ascii="Times New Roman" w:hAnsi="Times New Roman" w:eastAsia="신명조"/>
          <w:b w:val="0"/>
          <w:i/>
          <w:sz w:val="18"/>
        </w:rPr>
        <w:t>t</w:t>
      </w:r>
      <w:r>
        <w:rPr>
          <w:rFonts w:ascii="Times New Roman" w:hAnsi="Times New Roman" w:eastAsia="신명조"/>
          <w:b w:val="0"/>
          <w:i w:val="0"/>
          <w:sz w:val="18"/>
        </w:rPr>
        <w:t xml:space="preserve"> = 4.47(자유도 6.5, </w:t>
      </w:r>
      <w:r>
        <w:rPr>
          <w:rFonts w:ascii="Times New Roman" w:hAnsi="Times New Roman" w:eastAsia="신명조"/>
          <w:b w:val="0"/>
          <w:i/>
          <w:sz w:val="18"/>
        </w:rPr>
        <w:t>p</w:t>
      </w:r>
      <w:r>
        <w:rPr>
          <w:rFonts w:ascii="Times New Roman" w:hAnsi="Times New Roman" w:eastAsia="신명조"/>
          <w:b w:val="0"/>
          <w:i w:val="0"/>
          <w:sz w:val="18"/>
        </w:rPr>
        <w:t xml:space="preserve"> = 0.004 양측)이다. 초기화 변동을 통제하면 제안 모형이 체계적으로 낮은 쪽에 있다는 뜻이나 격차의 절대 크기가 작으므로, 본 연구는 검증구간의 결과를 우위가 아니라 대등하거나 근소하게 낫다는 수준으로 해석한다.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셋째, 검정구간에서는 격차가 분명해진다. 검증구간은 조기종료와 최적 회차 선택에 이미 쓰였으므로 세 모형 모두 낙관적으로 나오는데, 그 선택에 쓰이지 않은 검정구간에서 기준선 대비 개선폭이 제안 모형 +4.95%, TFT 원본 +2.28%로 2.2배 벌어진다. 두 모형의 격차는 핀볼 손실 0.000499로 제안 모형 개선폭(0.000927)의 54%이며, 다섯 시드의 범위도 겹치지 않는다(0.017739~0.017895 대 0.018205~0.018407). 시드를 짝지은 부호검정은 다섯 쌍 모두 제안 모형이 낮고(</w:t>
      </w:r>
      <w:r>
        <w:rPr>
          <w:rFonts w:ascii="Times New Roman" w:hAnsi="Times New Roman" w:eastAsia="신명조"/>
          <w:b w:val="0"/>
          <w:i/>
          <w:sz w:val="18"/>
        </w:rPr>
        <w:t>p</w:t>
      </w:r>
      <w:r>
        <w:rPr>
          <w:rFonts w:ascii="Times New Roman" w:hAnsi="Times New Roman" w:eastAsia="신명조"/>
          <w:b w:val="0"/>
          <w:i w:val="0"/>
          <w:sz w:val="18"/>
        </w:rPr>
        <w:t xml:space="preserve"> = 0.031 단측), Welch 검정은 </w:t>
      </w:r>
      <w:r>
        <w:rPr>
          <w:rFonts w:ascii="Times New Roman" w:hAnsi="Times New Roman" w:eastAsia="신명조"/>
          <w:b w:val="0"/>
          <w:i/>
          <w:sz w:val="18"/>
        </w:rPr>
        <w:t>t</w:t>
      </w:r>
      <w:r>
        <w:rPr>
          <w:rFonts w:ascii="Times New Roman" w:hAnsi="Times New Roman" w:eastAsia="신명조"/>
          <w:b w:val="0"/>
          <w:i w:val="0"/>
          <w:sz w:val="18"/>
        </w:rPr>
        <w:t xml:space="preserve"> = 10.33(자유도 6.9, </w:t>
      </w:r>
      <w:r>
        <w:rPr>
          <w:rFonts w:ascii="Times New Roman" w:hAnsi="Times New Roman" w:eastAsia="신명조"/>
          <w:b w:val="0"/>
          <w:i/>
          <w:sz w:val="18"/>
        </w:rPr>
        <w:t>p</w:t>
      </w:r>
      <w:r>
        <w:rPr>
          <w:rFonts w:ascii="Times New Roman" w:hAnsi="Times New Roman" w:eastAsia="신명조"/>
          <w:b w:val="0"/>
          <w:i w:val="0"/>
          <w:sz w:val="18"/>
        </w:rPr>
        <w:t xml:space="preserve"> &lt; 0.001 양측)이다.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같은 표본 위의 날짜별 손실 계열에 Diebold-Mariano 검정을 적용한 결과도 같은 방향이다. 검정구간에서는 다섯 시드 모두 유의하였다(Harvey-Leybourne-Newbold 보정 후 </w:t>
      </w:r>
      <w:r>
        <w:rPr>
          <w:rFonts w:ascii="Times New Roman" w:hAnsi="Times New Roman" w:eastAsia="신명조"/>
          <w:b w:val="0"/>
          <w:i/>
          <w:sz w:val="18"/>
        </w:rPr>
        <w:t>p</w:t>
      </w:r>
      <w:r>
        <w:rPr>
          <w:rFonts w:ascii="Times New Roman" w:hAnsi="Times New Roman" w:eastAsia="신명조"/>
          <w:b w:val="0"/>
          <w:i w:val="0"/>
          <w:sz w:val="18"/>
        </w:rPr>
        <w:t xml:space="preserve"> = 0.022, 0.001, 0.009, 0.003, 0.000. 550일, Newey-West 4시차). 반면 검증구간에서는 다섯 시드 모두 유의하지 않았다(</w:t>
      </w:r>
      <w:r>
        <w:rPr>
          <w:rFonts w:ascii="Times New Roman" w:hAnsi="Times New Roman" w:eastAsia="신명조"/>
          <w:b w:val="0"/>
          <w:i/>
          <w:sz w:val="18"/>
        </w:rPr>
        <w:t>p</w:t>
      </w:r>
      <w:r>
        <w:rPr>
          <w:rFonts w:ascii="Times New Roman" w:hAnsi="Times New Roman" w:eastAsia="신명조"/>
          <w:b w:val="0"/>
          <w:i w:val="0"/>
          <w:sz w:val="18"/>
        </w:rPr>
        <w:t xml:space="preserve"> = 0.16~0.56). DM 검정은 날짜를 표본으로 보므로 122거래일인 검증구간에서는 검정력이 약하고, 550거래일인 검정구간에서는 격차를 가려낸다. 시드 단위 검정과 날짜 단위 검정이 검정구간에서 함께 유의하다는 점이 이 비교의 근거다.</w:t>
      </w:r>
    </w:p>
    <w:p>
      <w:pPr>
        <w:wordWrap w:val="0"/>
        <w:autoSpaceDE w:val="0"/>
        <w:autoSpaceDN w:val="0"/>
        <w:spacing w:after="80" w:before="0" w:line="341" w:lineRule="auto"/>
        <w:ind w:firstLine="180"/>
        <w:jc w:val="both"/>
      </w:pPr>
      <w:r>
        <w:rPr>
          <w:rFonts w:ascii="Times New Roman" w:hAnsi="Times New Roman" w:eastAsia="신명조"/>
          <w:b w:val="0"/>
          <w:i w:val="0"/>
          <w:sz w:val="18"/>
        </w:rPr>
        <w:t>격차가 검정구간에서 벌어지는 이유는 학습 곡선에 있다. TFT는 다섯 시드 모두 1~2회차에서 최적값에 도달한 뒤 과적합으로 돌아섰고, 제안 모형의 최적 회차는 2~10회차에 분포하였다. 다만 초매개변수가 제안 모형에 맞추어 조정된 값이므로 이 격차의 일부는 대조군의 설정에서 올 수 있다(6장). 비교의 실질은 &lt;Table 5&gt;의 비용으로 넘어간다.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5.2 계산 비용</w:t>
      </w: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4,068 batches that one epoch takes over the 260,339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108.9</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542.0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141.3</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5배 줄이고 변수선택망의 선행 배치가 채널 반복을 제거한 결과이며, 모수 1.4배 차이는 부차적이다. 실질적 절감은 활성값과 실제 수행 시간에서 발생한다. 표의 세 행은 같은 장비·같은 배치에서 다시 측정한 값이다. 제안 모형은 외부 GPU에서 29.3초/epoch로도 학습되었다.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 자료 수집이 이어져 4.3절의 검정표본에 2거래일이 더해진 550거래일·106,490 윈도우가 집계 대상이다. 기권이 어디서 일어나는가와 보류된 판단이 실제로 더 나빴는가를 함께 본다.</w:t>
      </w: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 The abstention figures in this table, and the interval figures in Section 5.4, come from one checkpoint per model: the two baselines were trained on a Mac MPS backend and the proposed model on an external GPU, so the devices are mixed here and differ from those behind &lt;Table 4&gt;</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12.91%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0.02387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0.01806</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0.02617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0.01768</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5.99%</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20.57%</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0.02646</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0.01726</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20.57%인 반면 최하위 분위는 0.20%에 머물러 기권이 고변동 구간에 집중된다.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보류된 판단이 실제로 더 나빴는지는 따로 재야 한다. 제안 모형이 기권한 6,381건의 핀볼 손실은 0.02646으로 남긴 100,109건의 0.01726보다 1.53배 크다. 날짜 단위로 짝지은 손실차는 +0.00804(</w:t>
      </w:r>
      <w:r>
        <w:rPr>
          <w:rFonts w:ascii="Times New Roman" w:hAnsi="Times New Roman" w:eastAsia="신명조"/>
          <w:b w:val="0"/>
          <w:i/>
          <w:sz w:val="18"/>
        </w:rPr>
        <w:t>t</w:t>
      </w:r>
      <w:r>
        <w:rPr>
          <w:rFonts w:ascii="Times New Roman" w:hAnsi="Times New Roman" w:eastAsia="신명조"/>
          <w:b w:val="0"/>
          <w:i w:val="0"/>
          <w:sz w:val="18"/>
        </w:rPr>
        <w:t xml:space="preserve"> = 19.74, 550일)이며, 분위 헤드만 부착한 모형과 TFT 원본에서도 같은 방향이다(</w:t>
      </w:r>
      <w:r>
        <w:rPr>
          <w:rFonts w:ascii="Times New Roman" w:hAnsi="Times New Roman" w:eastAsia="신명조"/>
          <w:b w:val="0"/>
          <w:i/>
          <w:sz w:val="18"/>
        </w:rPr>
        <w:t>t</w:t>
      </w:r>
      <w:r>
        <w:rPr>
          <w:rFonts w:ascii="Times New Roman" w:hAnsi="Times New Roman" w:eastAsia="신명조"/>
          <w:b w:val="0"/>
          <w:i w:val="0"/>
          <w:sz w:val="18"/>
        </w:rPr>
        <w:t xml:space="preserve"> = 13.44, 18.61). 반면 중앙값 부호의 방향 적중률은 기권 0.553 대 유지 0.548로 거의 같다.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대조하였다. 통제군의 비는 1.343(기권율 5.66%)으로 제안 모형의 1.533(5.99%)보다 낮고, 남긴 후보의 손실도 0.01747로 제안 모형의 0.01726보다 높다. TFT 원본도 1.480으로 자기 통제군(1.358)을 상회하였으나, 분위 헤드만 부착한 모형은 1.322로 통제군(1.366)에 미치지 못하였다. 통제군의 값이 1.343과 1.366으로 다른 것은 통제군을 모형마다 따로 맞춘 탓이 아니다. 실현변동성 점수는 모형과 무관하여 통제군의 기권율이 세 모형 모두 5.66%로 같고, 보류된 후보의 손실만 각 모형의 예측으로 재기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 자체가 다르면 보류 집단이 분포의 꼬리로 더 들어간 효과가 섞인다. 제안 모형은 5.99%, 통제군은 5.66%였으므로 기권율을 맞춘 비교를 따로 수행하였다. 이 비교에는 4.4절의 운용 규칙이 아니라 비교를 위해 별도로 정의한 규칙을 쓴다. 날짜마다 두 점수의 날짜별 횡단면 순위 상위 r%를 보류시키면 같은 날 같은 개수를 보류하게 되어 기권율이 일치한다. 보류와 유지의 핀볼 비는 r = 2, 5, 6, 10, 20, 30%에서 각각 1.574 대 1.485, 1.484 대 1.395, 1.475 대 1.368, 1.401 대 1.307, 1.333 대 1.258, 1.278 대 1.216이었다. 여섯 수준 전부에서 폭 기준이 높았고, 날짜 블록 부트스트랩 1,000회의 95% 신뢰구간도 여섯 수준 모두 0을 포함하지 않았다 (6%에서 차이 +0.107, 구간 [+0.079, +0.138]). TFT 원본은 5% 이상에서 같은 방향이나 2%에서는 구간이 0을 포함하였고, 분위 헤드만 부착한 모형은 여섯 수준 전부에서 통제군보다 낮았다. 기권율을 맞춘 뒤에도 제안 모형의 폭은 단순 변동성 지표보다 나은 보류 기준이며, 그 이점은 분위 헤드를 부착하는 것만으로는 생기지 않았다.</w:t>
      </w:r>
    </w:p>
    <w:p>
      <w:pPr>
        <w:wordWrap w:val="0"/>
        <w:autoSpaceDE w:val="0"/>
        <w:autoSpaceDN w:val="0"/>
        <w:spacing w:after="80" w:before="0" w:line="341" w:lineRule="auto"/>
        <w:ind w:firstLine="180"/>
        <w:jc w:val="both"/>
      </w:pPr>
      <w:r>
        <w:rPr>
          <w:rFonts w:ascii="Times New Roman" w:hAnsi="Times New Roman" w:eastAsia="신명조"/>
          <w:b w:val="0"/>
          <w:i w:val="0"/>
          <w:sz w:val="18"/>
        </w:rPr>
        <w:t>전체 기권율의 수준을 정하는 임계값 분위는 검정구간을 참조하여 선택되었으므로, 5.99%라는 절대 수준은 표본 밖 수치가 아니다. 다만 분위를 95에서 90, 75로 낮추면 제안 모형의 전체 기권율이 5.99%, 11.61%, 28.17%로 오르는 동안 최상위 변동성 분위의 기권율도 20.57%, 36.42%, 69.36%로 함께 올라 분위별 집중이 유지되며,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 임계값의 변화도 같은 방향을 가리킨다. 검정구간의 마지막 12개월(244거래일)에서 제안 모형의 임계값은 0.189에서 0.329로 74% 상승한 반면 TFT 원본은 0.175→0.187로 7% 오르는 데 그쳤고, 분위 헤드만 부착한 모형은 0.189→0.166으로 오히려 내렸다. 임계값이 직전 90일 폭 분포의 분위이므로 이는 제안 모형의 폭이 시장 변동성 변화에 더 크게 반응한다는 뜻이다. 같은 12개월 구간의 평균 폭 자체도 제안 모형이 0.1615로 TFT(0.1298)와 분위 헤드 모형(0.1274)보다 넓다(5.4절의 0.1410은 검정구간 전체 값이다). 변동성이 오른 구간에서 폭이 함께 넓어져 기권이 늘어난 결과가 &lt;Table 6&gt;의 Q4 기권율이다. 폭의 반응성 자체를 직접 비교한 실험은 수행하지 않았다.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5.4 예측구간의 교정과 폭 예측</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7&gt;은 예측구간의 교정 상태와 폭 예측력을 검정구간 106,094 윈도우에서 측정한 결과이다. 폭 정보계수는 예측 구간의 폭 q90 − q10 과 앞으로 5일 실현 초과수익의 절댓값 사이의 상관이다. 뒤의 단순 기준 대조도 같은 목표를 쓰고 점수만 바꾼 것이다.</w:t>
      </w:r>
    </w:p>
    <w:p>
      <w:pPr>
        <w:wordWrap w:val="0"/>
        <w:autoSpaceDE w:val="0"/>
        <w:autoSpaceDN w:val="0"/>
        <w:spacing w:after="40" w:before="0" w:line="288" w:lineRule="auto"/>
      </w:pPr>
      <w:r>
        <w:rPr>
          <w:rFonts w:ascii="Times New Roman" w:hAnsi="Times New Roman" w:eastAsia="중고딕"/>
          <w:b w:val="0"/>
          <w:i w:val="0"/>
          <w:sz w:val="17"/>
        </w:rPr>
        <w:t>Table 7. Interval calibration and width predictive power (23,086 validation and 106,094 test windows)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Measure</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Interval coverage (nominal 80%)</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77.5%</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71.4%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Coverage after conformal correction (+0.034)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74.2%</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Width IC (interval against absolute realized 5-day excess return)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0.2710 (</w:t>
            </w:r>
            <w:r>
              <w:rPr>
                <w:rFonts w:ascii="Times New Roman" w:hAnsi="Times New Roman" w:eastAsia="신명조"/>
                <w:b w:val="0"/>
                <w:i/>
                <w:sz w:val="16"/>
              </w:rPr>
              <w:t>t</w:t>
            </w:r>
            <w:r>
              <w:rPr>
                <w:rFonts w:ascii="Times New Roman" w:hAnsi="Times New Roman" w:eastAsia="신명조"/>
                <w:b w:val="0"/>
                <w:i w:val="0"/>
                <w:sz w:val="16"/>
              </w:rPr>
              <w:t xml:space="preserve"> = 30.19)</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0.1767 (</w:t>
            </w:r>
            <w:r>
              <w:rPr>
                <w:rFonts w:ascii="Times New Roman" w:hAnsi="Times New Roman" w:eastAsia="신명조"/>
                <w:b/>
                <w:i/>
                <w:sz w:val="16"/>
              </w:rPr>
              <w:t>t</w:t>
            </w:r>
            <w:r>
              <w:rPr>
                <w:rFonts w:ascii="Times New Roman" w:hAnsi="Times New Roman" w:eastAsia="신명조"/>
                <w:b/>
                <w:i w:val="0"/>
                <w:sz w:val="16"/>
              </w:rPr>
              <w:t xml:space="preserve"> = 20.27)</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폭 정보계수는 날짜별 횡단면 상관을 먼저 구한 뒤 그 시계열 평균으로 정의하며, </w:t>
      </w:r>
      <w:r>
        <w:rPr>
          <w:rFonts w:ascii="Times New Roman" w:hAnsi="Times New Roman" w:eastAsia="신명조"/>
          <w:b w:val="0"/>
          <w:i/>
          <w:sz w:val="18"/>
        </w:rPr>
        <w:t>t</w:t>
      </w:r>
      <w:r>
        <w:rPr>
          <w:rFonts w:ascii="Times New Roman" w:hAnsi="Times New Roman" w:eastAsia="신명조"/>
          <w:b w:val="0"/>
          <w:i w:val="0"/>
          <w:sz w:val="18"/>
        </w:rPr>
        <w:t xml:space="preserve"> 값은 일별 계열의 표준오차에서 계산하였다. 목표가 5일 겹쳐 일별 계열에 자기상관이 남아 있는데 Newey-West 보정은 적용하지 않았으므로 </w:t>
      </w:r>
      <w:r>
        <w:rPr>
          <w:rFonts w:ascii="Times New Roman" w:hAnsi="Times New Roman" w:eastAsia="신명조"/>
          <w:b w:val="0"/>
          <w:i/>
          <w:sz w:val="18"/>
        </w:rPr>
        <w:t>t</w:t>
      </w:r>
      <w:r>
        <w:rPr>
          <w:rFonts w:ascii="Times New Roman" w:hAnsi="Times New Roman" w:eastAsia="신명조"/>
          <w:b w:val="0"/>
          <w:i w:val="0"/>
          <w:sz w:val="18"/>
        </w:rPr>
        <w:t xml:space="preserve"> 값은 다소 낙관적이다.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변동성은 군집성 때문에 그 자체로 예측하기 쉬우므로 폭 정보계수의 절대 크기만으로는 모형의 기여를 가릴 수 없다. 단순 기준과 나란히 두면 가릴 수 있다. 5.3절과 같은 실행에서 직전 20일 실현변동성을 점수로 쓰는 기준의 정보계수는 +0.1450(</w:t>
      </w:r>
      <w:r>
        <w:rPr>
          <w:rFonts w:ascii="Times New Roman" w:hAnsi="Times New Roman" w:eastAsia="신명조"/>
          <w:b w:val="0"/>
          <w:i/>
          <w:sz w:val="18"/>
        </w:rPr>
        <w:t>t</w:t>
      </w:r>
      <w:r>
        <w:rPr>
          <w:rFonts w:ascii="Times New Roman" w:hAnsi="Times New Roman" w:eastAsia="신명조"/>
          <w:b w:val="0"/>
          <w:i w:val="0"/>
          <w:sz w:val="18"/>
        </w:rPr>
        <w:t xml:space="preserve"> = 17.08)이었다. 같은 실행에서 제안 모형의 폭은 +0.1737(</w:t>
      </w:r>
      <w:r>
        <w:rPr>
          <w:rFonts w:ascii="Times New Roman" w:hAnsi="Times New Roman" w:eastAsia="신명조"/>
          <w:b w:val="0"/>
          <w:i/>
          <w:sz w:val="18"/>
        </w:rPr>
        <w:t>t</w:t>
      </w:r>
      <w:r>
        <w:rPr>
          <w:rFonts w:ascii="Times New Roman" w:hAnsi="Times New Roman" w:eastAsia="신명조"/>
          <w:b w:val="0"/>
          <w:i w:val="0"/>
          <w:sz w:val="18"/>
        </w:rPr>
        <w:t xml:space="preserve"> = 19.45)로 이를 상회하였고, 분위 헤드만 부착한 모형은 +0.0962에 그쳐 단순 기준에 미치지 못하였으며, TFT 원본은 +0.1946(</w:t>
      </w:r>
      <w:r>
        <w:rPr>
          <w:rFonts w:ascii="Times New Roman" w:hAnsi="Times New Roman" w:eastAsia="신명조"/>
          <w:b w:val="0"/>
          <w:i/>
          <w:sz w:val="18"/>
        </w:rPr>
        <w:t>t</w:t>
      </w:r>
      <w:r>
        <w:rPr>
          <w:rFonts w:ascii="Times New Roman" w:hAnsi="Times New Roman" w:eastAsia="신명조"/>
          <w:b w:val="0"/>
          <w:i w:val="0"/>
          <w:sz w:val="18"/>
        </w:rPr>
        <w:t xml:space="preserve"> = 24.05)으로 제안 모형보다 높았다. 폭에 변동성 정보를 담는 능력은 분위 헤드만으로는 생기지 않았으며, 변수선택·정적 문맥·매크로 입력이 함께 더해진 구조에서 나타났다. 어느 구성요소의 기여인지는 제거 실험 없이 가릴 수 없다(6장). 제안 모형은 그 능력을 TFT를 넘어서지는 못한 채 약 4분의 1의 비용으로 유지한다. &lt;Table 7&gt;의 폭 정보계수(+0.1767)와 이 단락의 값(+0.1737)이 다른 것은 표본이 2거래일 차이 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구간의 절대 교정은 좋지 않다. 명목 80% 구간이 검정구간에서 실제로 포함한 비율은 71.4%이고, 검증구간에서 산출한 등각예측 보정계수 +0.034를 적용해도 74.2%에 그친다. 본 모형의 구간은 체계적으로 좁다.</w:t>
      </w:r>
    </w:p>
    <w:p>
      <w:pPr>
        <w:wordWrap w:val="0"/>
        <w:autoSpaceDE w:val="0"/>
        <w:autoSpaceDN w:val="0"/>
        <w:spacing w:after="80" w:before="0" w:line="341" w:lineRule="auto"/>
        <w:ind w:firstLine="180"/>
        <w:jc w:val="both"/>
      </w:pPr>
      <w:r>
        <w:rPr>
          <w:rFonts w:ascii="Times New Roman" w:hAnsi="Times New Roman" w:eastAsia="신명조"/>
          <w:b w:val="0"/>
          <w:i w:val="0"/>
          <w:sz w:val="18"/>
        </w:rPr>
        <w:t>원인은 구간 간 변동성 차이에 있다. 폭은 변동성에 반응하지만 검정구간의 변동성 상승폭을 다 따라가지 못한다. 검정구간의 실현 p10~p90 폭이 0.1641인 데 비해 평균 예측 폭은 0.1410에 그친다. 검증구간에서는 두 값이 0.1080과 0.1100으로 거의 일치하여 포함률이 77.5%로 명목에 근접한다. 다만 4.4절의 기권 규칙은 폭의 절대 수준이 아니라 최근 분포 안에서의 상대 순위에 걸려 있다. 보정이 모든 폭에 같은 상수를 더하는 연산이므로 순위는 구성상 바뀌지 않고, 기권 선택도 그대로다. 기권에는 영향이 없으나 구간을 신뢰구간으로 읽어서는 안 된다.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결합하였다. 변수선택망은 입력 채널을 인코더 앞에서 하나로 축약하여 인코더 실행 횟수를 1회로 줄이는 데 사용하였다.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다섯 번의 반복 실험 모두에서 TFT보다 오차가 작았고, 그 정확도를 약 4분의 1의 비용으로 달성하였다. 조기종료에 쓰인 검증구간에서는 격차가 개선폭의 16%로 작아 두 모형을 대등하다고 보았다. 그 선택에 쓰이지 않은 평가 구간에서는 기준선 대비 개선폭이 +4.95% 대 +2.28%로 2.2배 벌어졌고,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컸다. 기권율을 맞춘 비교에서도 최근 변동성만 보고 보류하는 단순 규칙보다 큰 오차를 더 잘 걸러냈다.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오르내림 방향을 맞히는 능력은 동일 조건의 그래디언트 부스팅 기준모형보다 낮았다. 기준모형은 LightGBM[19]의 방식을 따른 scikit-learn 구현이다. 공통 표본 101,745건에서 랭크 정보계수가 +0.0288 대 +0.0197이다. 제안 모형은 종목을 고르는 데보다 판단을 미룰 시점을 정하는 데 적합하다. - 변수선택망의 가중치는 비용 절감 장치로만 사용하였다. 별도 진단에서 그 중요도는 개별 변수의 단변량 예측력과 일치하지 않았고 연도 간 거의 변하지 않았으므로, 매매 근거로는 제시하지 않는다. - &lt;Table 6&gt;의 기권 지표와 폭 정보계수는 모형마다 체크포인트 하나씩으로 산출한 값이다. &lt;Table 4&gt;와 DM 검정은 두 모형을 같은 장비에서 다섯 시드씩 학습해 얻었으나, 기권·구간 지표는 시드 평균이 아니다. - 구성요소를 하나씩 제거하는 실험과 TFT의 크기를 맞춘 비교를 수행하지 않아 개선이 어느 부분에서 왔는지는 가리지 못하였다. 종목 채널의 변수선택망을 매크로 경로와 같은 선형 합치기로 바꾼 변형도 비교하지 않았으므로, 채널 축약에 게이트가 필요했는지는 열려 있다. - 유니버스를 현재 시점에서 추출하여 2015년 이후 상장폐지된 기업이 후보가 된 적이 없다. 시가총액 구간은 학습 종료 시점의 값으로 고정하였으므로 검증·검정 구간에는 사전 정보이고 학습 행에는 사후 값이다. - 평가 기간은 한 시장의 한 구간이며, 구간을 옮겨 가며 재학습하는 walk-forward 검증은 수행하지 않았다. 코스피200은 구간 전체로 +172.6%이나 2024년 하반기 −17.1%, 2026년 7월 고점 대비 −40.9% 하락을 포함한다. - 본 연구의 비교는 트랜스포머 계열 분위 모형 안으로 한정된다. - 입력이 모두 공개된 가격·거래량 지표여서, 같은 재료를 쓴 모형들이 같은 종목을 지목하기 쉽다. 이는 국내 선행 연구[20]에서도 지적된 제약이다.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향후 연구에서는 비교 이후 새로 쌓인 자료를 평가에 쓰지 않은 구간으로 두고,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w:t>
      </w:r>
    </w:p>
    <w:p>
      <w:pPr>
        <w:wordWrap w:val="0"/>
        <w:autoSpaceDE w:val="0"/>
        <w:autoSpaceDN w:val="0"/>
        <w:spacing w:after="40" w:before="0" w:line="300" w:lineRule="auto"/>
        <w:ind w:hanging="280" w:left="280"/>
      </w:pPr>
      <w:r>
        <w:rPr>
          <w:rFonts w:ascii="Times New Roman" w:hAnsi="Times New Roman" w:eastAsia="신명조"/>
          <w:b w:val="0"/>
          <w:i w:val="0"/>
          <w:sz w:val="17"/>
        </w:rPr>
        <w:t>[14]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[15]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[16]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[17]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[18] X. Yang, W. Liu, D. Zhou, J. Bian, and T.-Y. Liu, "Qlib: An AI-oriented quantitative investment platform," arXiv preprint arXiv:2009.11189, 2020.</w:t>
      </w:r>
    </w:p>
    <w:p>
      <w:pPr>
        <w:wordWrap w:val="0"/>
        <w:autoSpaceDE w:val="0"/>
        <w:autoSpaceDN w:val="0"/>
        <w:spacing w:after="40" w:before="0" w:line="300" w:lineRule="auto"/>
        <w:ind w:hanging="280" w:left="280"/>
      </w:pPr>
      <w:r>
        <w:rPr>
          <w:rFonts w:ascii="Times New Roman" w:hAnsi="Times New Roman" w:eastAsia="신명조"/>
          <w:b w:val="0"/>
          <w:i w:val="0"/>
          <w:sz w:val="17"/>
        </w:rPr>
        <w:t>[19] G. Ke, Q. Meng, T. Finley, T. Wang, W. Chen, W. Ma, Q. Ye, and T.-Y. Liu, "LightGBM: A highly efficient gradient boosting decision tree," Advances in Neural Information Processing Systems, Vol.30,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[20] M. K. Kwon and J. W. Nam, "AI and asset management: A review of the possibility of a paradigm shift," Issue Report 25-21, Korea Capital Market Institute, 2025 (in Korean).</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