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120" w:before="0" w:line="300" w:lineRule="auto"/>
        <w:jc w:val="center"/>
      </w:pPr>
      <w:r>
        <w:rPr>
          <w:rFonts w:ascii="Times New Roman" w:hAnsi="Times New Roman" w:eastAsia="견명조"/>
          <w:b w:val="0"/>
          <w:i w:val="0"/>
          <w:sz w:val="28"/>
        </w:rPr>
        <w:t>A Lightweight Quantile Model for Stock Returns Combining Patch Tokenization and Variable Selection</w:t>
      </w:r>
    </w:p>
    <w:p>
      <w:pPr>
        <w:wordWrap w:val="0"/>
        <w:autoSpaceDE w:val="0"/>
        <w:autoSpaceDN w:val="0"/>
        <w:spacing w:after="80" w:before="0" w:line="300" w:lineRule="auto"/>
        <w:jc w:val="center"/>
      </w:pPr>
      <w:r>
        <w:rPr>
          <w:rFonts w:ascii="Times New Roman" w:hAnsi="Times New Roman" w:eastAsia="태고딕"/>
          <w:b w:val="0"/>
          <w:i w:val="0"/>
          <w:sz w:val="21"/>
        </w:rPr>
        <w:t>ABSTRACT</w:t>
      </w:r>
    </w:p>
    <w:p>
      <w:pPr>
        <w:wordWrap w:val="0"/>
        <w:autoSpaceDE w:val="0"/>
        <w:autoSpaceDN w:val="0"/>
        <w:spacing w:after="80" w:before="0" w:line="324" w:lineRule="auto"/>
        <w:jc w:val="both"/>
      </w:pPr>
      <w:r>
        <w:rPr>
          <w:rFonts w:ascii="Times New Roman" w:hAnsi="Times New Roman" w:eastAsia="신명조"/>
          <w:b w:val="0"/>
          <w:i w:val="0"/>
          <w:sz w:val="15"/>
        </w:rPr>
        <w:t>Most stock forecasting models give a single answer to whether a price will rise or fall. In practice, an investor also needs to know how far that answer can be trusted and when to hold off. The Temporal Fusion Transformer (TFT) forecasts quantiles rather than a single value, but it attends to every time step and is therefore expensive. Patch-based transformers are inexpensive but produce only a single value. This paper combines the two. We equip a patch-based transformer with the quantile forecasting of TFT and with its variable selection network, placed before the encoder so that the channel axis collapses into one and the encoder runs a single time. A rule withholds a decision when the prediction interval is unusually wide. On daily data for 201 KOSPI 200 stocks since 2015, the model had a lower loss than TFT in all five repeated runs. On the validation split, which early stopping had already used, the two were comparable; on the held-out test split its improvement over the baseline was 2.2 times that of TFT. Training ran 3.8 times and inference 4.8 times faster. Its prediction intervals widened in volatile markets, so withheld decisions concentrated there. The withheld forecasts carried about 1.5 times the error of those acted on, a sharper separation than a simple volatility rule achieved. Its intervals tracked volatility less closely than those of TFT, and its directional accuracy was lower than that of a tree-based baseline. The model is therefore better suited to deciding when not to act than to picking stocks. Because the evaluation period informed parts of the design, the figures are not fully out of sample. Section 6 states this and the remaining limitations.</w:t>
      </w:r>
    </w:p>
    <w:p>
      <w:pPr>
        <w:wordWrap w:val="0"/>
        <w:autoSpaceDE w:val="0"/>
        <w:autoSpaceDN w:val="0"/>
        <w:spacing w:after="200" w:before="0" w:line="300" w:lineRule="auto"/>
      </w:pPr>
      <w:r>
        <w:rPr>
          <w:rFonts w:ascii="Times New Roman" w:hAnsi="Times New Roman" w:eastAsia="태고딕"/>
          <w:b w:val="0"/>
          <w:i w:val="0"/>
          <w:sz w:val="15"/>
        </w:rPr>
        <w:t>Keywords : Time-Series Transformer, Quantile Regression, Variable Selection Network, Forecast Uncertainty, Abstention</w:t>
      </w:r>
    </w:p>
    <w:p>
      <w:pPr>
        <w:wordWrap w:val="0"/>
        <w:autoSpaceDE w:val="0"/>
        <w:autoSpaceDN w:val="0"/>
        <w:spacing w:after="120" w:before="0" w:line="300" w:lineRule="auto"/>
        <w:jc w:val="center"/>
      </w:pPr>
      <w:r>
        <w:rPr>
          <w:rFonts w:ascii="Times New Roman" w:hAnsi="Times New Roman" w:eastAsia="태명조"/>
          <w:b w:val="0"/>
          <w:i w:val="0"/>
          <w:sz w:val="38"/>
        </w:rPr>
        <w:t>패치 토큰화와 변수선택망을 결합한 주가 수익률 경량 분위 모형</w:t>
      </w:r>
    </w:p>
    <w:p>
      <w:pPr>
        <w:wordWrap w:val="0"/>
        <w:autoSpaceDE w:val="0"/>
        <w:autoSpaceDN w:val="0"/>
        <w:spacing w:after="80" w:before="0" w:line="300" w:lineRule="auto"/>
        <w:jc w:val="center"/>
      </w:pPr>
      <w:r>
        <w:rPr>
          <w:rFonts w:ascii="Times New Roman" w:hAnsi="Times New Roman" w:eastAsia="태고딕"/>
          <w:b w:val="0"/>
          <w:i w:val="0"/>
          <w:sz w:val="21"/>
        </w:rPr>
        <w:t>요     약</w:t>
      </w:r>
    </w:p>
    <w:p>
      <w:pPr>
        <w:wordWrap w:val="0"/>
        <w:autoSpaceDE w:val="0"/>
        <w:autoSpaceDN w:val="0"/>
        <w:spacing w:after="80" w:before="0" w:line="324" w:lineRule="auto"/>
        <w:jc w:val="both"/>
      </w:pPr>
      <w:r>
        <w:rPr>
          <w:rFonts w:ascii="Times New Roman" w:hAnsi="Times New Roman" w:eastAsia="신명조"/>
          <w:b w:val="0"/>
          <w:i w:val="0"/>
          <w:sz w:val="15"/>
        </w:rPr>
        <w:t>주가 예측 모형은 대부분 "오를 것인가, 내릴 것인가"에 대해 하나의 답만 내놓는다. 그러나 실제 투자 판단에서는 그 예측을 얼마나 믿을 수 있는지, 언제 판단을 미뤄야 하는지도 함께 알아야 한다. 예측값과 함께 불확실성의 폭을 내는 분위 예측 모형으로 Temporal Fusion Transformer(TFT)가 있으나, 모든 시점에서 어텐션을 수행하여 계산 비용이 크다. 계산이 가벼운 패치 기반 트랜스포머는 하나의 예측값만 낸다. 이에 본 논문에서는 패치 기반 트랜스포머에 TFT의 분위 예측 기능과 변수선택망을 결합한 경량 모형을 제안한다. 변수선택망은 입력 채널을 인코더 앞에서 하나로 축약하여 인코더를 한 번만 실행시키는 장치로 쓴다. 여기에 예측 구간이 이례적으로 넓을 때 판단을 보류하는 기권 규칙을 함께 적용하였다.</w:t>
      </w:r>
    </w:p>
    <w:p>
      <w:pPr>
        <w:wordWrap w:val="0"/>
        <w:autoSpaceDE w:val="0"/>
        <w:autoSpaceDN w:val="0"/>
        <w:spacing w:after="80" w:before="0" w:line="324" w:lineRule="auto"/>
        <w:jc w:val="both"/>
      </w:pPr>
      <w:r>
        <w:rPr>
          <w:rFonts w:ascii="Times New Roman" w:hAnsi="Times New Roman" w:eastAsia="신명조"/>
          <w:b w:val="0"/>
          <w:i w:val="0"/>
          <w:sz w:val="15"/>
        </w:rPr>
        <w:t>2015년 이후 코스피200 구성종목 201개의 일별 자료로 평가하였다. 다섯 번의 반복 실험 모두에서 제안 모형이 TFT보다 오차가 작았다. 조기종료에 쓰인 검증구간에서는 두 모형이 대등했으나, 그 선택에 쓰이지 않은 평가 구간에서는 기준선 대비 개선폭이 2.2배 벌어졌다. 학습 시간과 추론 시간은 TFT보다 각각 3.8배, 4.8배 짧았다. 시장 변동성이 클수록 예측 구간이 넓어져, 판단 보류는 변동성 최상위 25% 후보의 20.6%, 최하위 25% 후보의 0.2%에서 일어났다. 보류된 예측의 오차는 실행된 예측의 약 1.5배로, 최근 변동성만 보고 보류하는 단순 규칙보다 큰 오차를 잘 걸러냈다. 다만 예측 구간이 변동성을 따라가는 정도는 TFT보다 낮았고, 오르내림 방향을 맞히는 능력은 트리 기반 기준모형보다 낮았다. 따라서 제안 모형은 종목을 고르는 용도보다 판단을 미룰 시점을 정하는 용도에 적합하다. 평가 기간 자료가 입력 설계와 기권 기준 선택에 참고되었으므로 보고 수치는 완전한 사후 검증 값이 아니며, 이를 포함한 한계는 6장에서 다룬다.</w:t>
      </w:r>
    </w:p>
    <w:p>
      <w:pPr>
        <w:wordWrap w:val="0"/>
        <w:autoSpaceDE w:val="0"/>
        <w:autoSpaceDN w:val="0"/>
        <w:spacing w:after="200" w:before="0" w:line="300" w:lineRule="auto"/>
      </w:pPr>
      <w:r>
        <w:rPr>
          <w:rFonts w:ascii="Times New Roman" w:hAnsi="Times New Roman" w:eastAsia="태고딕"/>
          <w:b w:val="0"/>
          <w:i w:val="0"/>
          <w:sz w:val="15"/>
        </w:rPr>
        <w:t>키워드 : 시계열 트랜스포머, 분위회귀, 변수선택망, 예측 불확실성, 기권</w:t>
      </w:r>
    </w:p>
    <w:p>
      <w:pPr>
        <w:sectPr>
          <w:pgSz w:w="11906" w:h="16838"/>
          <w:pgMar w:top="1446" w:right="1134" w:bottom="879" w:left="1134" w:header="567" w:footer="567" w:gutter="0"/>
          <w:docGrid w:linePitch="360"/>
          <w:cols w:num="1" w:space="453" w:equalWidth="1"/>
        </w:sectPr>
      </w:pPr>
    </w:p>
    <w:p>
      <w:pPr>
        <w:wordWrap w:val="0"/>
        <w:autoSpaceDE w:val="0"/>
        <w:autoSpaceDN w:val="0"/>
        <w:spacing w:after="80" w:before="0" w:line="300" w:lineRule="auto"/>
      </w:pPr>
      <w:r>
        <w:rPr>
          <w:rFonts w:ascii="Times New Roman" w:hAnsi="Times New Roman" w:eastAsia="견고딕"/>
          <w:b/>
          <w:i w:val="0"/>
          <w:sz w:val="20"/>
        </w:rPr>
        <w:t>1. 서  론</w:t>
      </w:r>
    </w:p>
    <w:p>
      <w:pPr>
        <w:wordWrap w:val="0"/>
        <w:autoSpaceDE w:val="0"/>
        <w:autoSpaceDN w:val="0"/>
        <w:spacing w:after="80" w:before="0" w:line="341" w:lineRule="auto"/>
        <w:ind w:firstLine="180"/>
        <w:jc w:val="both"/>
      </w:pPr>
      <w:r>
        <w:rPr>
          <w:rFonts w:ascii="Times New Roman" w:hAnsi="Times New Roman" w:eastAsia="신명조"/>
          <w:b w:val="0"/>
          <w:i w:val="0"/>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341" w:lineRule="auto"/>
        <w:ind w:firstLine="180"/>
        <w:jc w:val="both"/>
      </w:pPr>
      <w:r>
        <w:rPr>
          <w:rFonts w:ascii="Times New Roman" w:hAnsi="Times New Roman" w:eastAsia="신명조"/>
          <w:b w:val="0"/>
          <w:i w:val="0"/>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다수는 최신 구조를 새 자료에 이식하거나 손실함수와 초매개변수를 조정하여 지표를 개선하는 방식이며, 구조를 과업의 요구사항으로부터 도출하지는 않는다. 그 경우 모형 선택의 근거가 성능 지표 외에 남지 않아 결과를 사후에 설명하기 어렵다.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추론이 싸야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두 요구사항은 각각 다른 구성요소를 필요로 한다. 기권에는 분위 헤드와 핀볼 손실이 필요하다. 비용에는 패치 토큰화로 어텐션 대상 시퀀스를 줄이는 것과, 채널 축을 인코더 앞에서 하나로 모으는 장치가 필요하다. 후자에는 TFT의 변수선택망을 쓴다. PatchTST를 그대로 쓰면 첫째 요구를 충족하지 못하고, TFT를 그대로 쓰면 둘째 요구를 충족하지 못한다. 제안 구조는 두 요구사항을 충족하도록 기존 구성요소를 조합한 것이며, 본 연구는 이를 정확도·비용·기권 행태의 세 축에서 검증한다.</w:t>
      </w:r>
    </w:p>
    <w:p>
      <w:pPr>
        <w:wordWrap w:val="0"/>
        <w:autoSpaceDE w:val="0"/>
        <w:autoSpaceDN w:val="0"/>
        <w:spacing w:after="80" w:before="0" w:line="341" w:lineRule="auto"/>
        <w:ind w:firstLine="180"/>
        <w:jc w:val="both"/>
      </w:pPr>
      <w:r>
        <w:rPr>
          <w:rFonts w:ascii="Times New Roman" w:hAnsi="Times New Roman" w:eastAsia="신명조"/>
          <w:b w:val="0"/>
          <w:i w:val="0"/>
          <w:sz w:val="18"/>
        </w:rPr>
        <w:t>구체적 질문은 두 가지이다. (1) 재조합 구조의 분위 정확도와 계산 비용은 두 원본과 어떻게 비교되는가. (2) 예측 구간이 변동성에 반응하여 기권이 실제로 더 나쁜 판단을 걸러내는가.</w:t>
      </w:r>
    </w:p>
    <w:p>
      <w:pPr>
        <w:wordWrap w:val="0"/>
        <w:autoSpaceDE w:val="0"/>
        <w:autoSpaceDN w:val="0"/>
        <w:spacing w:after="80" w:before="0" w:line="341" w:lineRule="auto"/>
        <w:ind w:firstLine="180"/>
        <w:jc w:val="both"/>
      </w:pPr>
      <w:r>
        <w:rPr>
          <w:rFonts w:ascii="Times New Roman" w:hAnsi="Times New Roman" w:eastAsia="신명조"/>
          <w:b w:val="0"/>
          <w:i w:val="0"/>
          <w:sz w:val="18"/>
        </w:rPr>
        <w:t>본 논문의 구성은 다음과 같다. 2장에서는 패치 기반 트랜스포머와 분위 예측·변수선택 구조, 분위 회귀에 관한 관련 연구를 정리한다. 3장에서는 요구사항으로부터 제안 구조를 도출하고 결합 과정의 설계 결정을 기술한다. 4장에서는 자료, 분할, 기권 규칙을 포함한 실험 설계를, 5장에서는 정확도·비용·기권 행태와 예측구간의 교정 상태에 대한 실험 결과를 제시하고, 6장에서 결론과 한계를 정리한다.</w:t>
      </w:r>
    </w:p>
    <w:p>
      <w:pPr>
        <w:wordWrap w:val="0"/>
        <w:autoSpaceDE w:val="0"/>
        <w:autoSpaceDN w:val="0"/>
        <w:spacing w:after="80" w:before="0" w:line="300" w:lineRule="auto"/>
      </w:pPr>
      <w:r>
        <w:rPr>
          <w:rFonts w:ascii="Times New Roman" w:hAnsi="Times New Roman" w:eastAsia="견고딕"/>
          <w:b/>
          <w:i w:val="0"/>
          <w:sz w:val="20"/>
        </w:rPr>
        <w:t>2. 관련 연구</w:t>
      </w:r>
    </w:p>
    <w:p>
      <w:pPr>
        <w:wordWrap w:val="0"/>
        <w:autoSpaceDE w:val="0"/>
        <w:autoSpaceDN w:val="0"/>
        <w:spacing w:after="60" w:before="0" w:line="300" w:lineRule="auto"/>
      </w:pPr>
      <w:r>
        <w:rPr>
          <w:rFonts w:ascii="Times New Roman" w:hAnsi="Times New Roman" w:eastAsia="중고딕"/>
          <w:b w:val="0"/>
          <w:i w:val="0"/>
          <w:sz w:val="18"/>
        </w:rPr>
        <w:t>2.1 패치 기반 시계열 트랜스포머</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z w:val="18"/>
        </w:rPr>
        <w:t>L</w:t>
      </w:r>
      <w:r>
        <w:rPr>
          <w:rFonts w:ascii="Times New Roman" w:hAnsi="Times New Roman" w:eastAsia="신명조"/>
          <w:b w:val="0"/>
          <w:i w:val="0"/>
          <w:sz w:val="18"/>
        </w:rPr>
        <w:t>의 입력을 ⌈</w:t>
      </w:r>
      <w:r>
        <w:rPr>
          <w:rFonts w:ascii="Times New Roman" w:hAnsi="Times New Roman" w:eastAsia="신명조"/>
          <w:b w:val="0"/>
          <w:i/>
          <w:sz w:val="18"/>
        </w:rPr>
        <w:t>L</w:t>
      </w:r>
      <w:r>
        <w:rPr>
          <w:rFonts w:ascii="Times New Roman" w:hAnsi="Times New Roman" w:eastAsia="신명조"/>
          <w:b w:val="0"/>
          <w:i w:val="0"/>
          <w:sz w:val="18"/>
        </w:rPr>
        <w:t>/</w:t>
      </w:r>
      <w:r>
        <w:rPr>
          <w:rFonts w:ascii="Times New Roman" w:hAnsi="Times New Roman" w:eastAsia="신명조"/>
          <w:b w:val="0"/>
          <w:i/>
          <w:sz w:val="18"/>
        </w:rPr>
        <w:t>S</w:t>
      </w:r>
      <w:r>
        <w:rPr>
          <w:rFonts w:ascii="Times New Roman" w:hAnsi="Times New Roman" w:eastAsia="신명조"/>
          <w:b w:val="0"/>
          <w:i w:val="0"/>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wordWrap w:val="0"/>
        <w:autoSpaceDE w:val="0"/>
        <w:autoSpaceDN w:val="0"/>
        <w:spacing w:after="60" w:before="0" w:line="300" w:lineRule="auto"/>
      </w:pPr>
      <w:r>
        <w:rPr>
          <w:rFonts w:ascii="Times New Roman" w:hAnsi="Times New Roman" w:eastAsia="중고딕"/>
          <w:b w:val="0"/>
          <w:i w:val="0"/>
          <w:sz w:val="18"/>
        </w:rPr>
        <w:t>2.2 분위 예측과 변수선택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헤드와 변수선택망을 부품으로 채택하고 시점 단위 연산 구조는 버렸다.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wordWrap w:val="0"/>
        <w:autoSpaceDE w:val="0"/>
        <w:autoSpaceDN w:val="0"/>
        <w:spacing w:after="60" w:before="0" w:line="300" w:lineRule="auto"/>
      </w:pPr>
      <w:r>
        <w:rPr>
          <w:rFonts w:ascii="Times New Roman" w:hAnsi="Times New Roman" w:eastAsia="중고딕"/>
          <w:b w:val="0"/>
          <w:i w:val="0"/>
          <w:sz w:val="18"/>
        </w:rPr>
        <w:t>2.3 분포 이동 정규화와 분위 회귀</w:t>
      </w:r>
    </w:p>
    <w:p>
      <w:pPr>
        <w:wordWrap w:val="0"/>
        <w:autoSpaceDE w:val="0"/>
        <w:autoSpaceDN w:val="0"/>
        <w:spacing w:after="80" w:before="0" w:line="341" w:lineRule="auto"/>
        <w:ind w:firstLine="180"/>
        <w:jc w:val="both"/>
      </w:pPr>
      <w:r>
        <w:rPr>
          <w:rFonts w:ascii="Times New Roman" w:hAnsi="Times New Roman" w:eastAsia="신명조"/>
          <w:b w:val="0"/>
          <w:i w:val="0"/>
          <w:sz w:val="18"/>
        </w:rPr>
        <w:t>RevIN(reversible instance normalization)[11]은 입력 윈도우별 인스턴스 정규화를 적용하고 출력에서 역변환한다. 종목과 시대에 따라 가격 수준의 의미가 달라지는 자료에서는 선택이 아닌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분위회귀[12]를 신경망 출력에 적용한 것이 핀볼 손실이며, 분위 </w:t>
      </w:r>
      <w:r>
        <w:rPr>
          <w:rFonts w:ascii="Times New Roman" w:hAnsi="Times New Roman" w:eastAsia="신명조"/>
          <w:b w:val="0"/>
          <w:i/>
          <w:sz w:val="18"/>
        </w:rPr>
        <w:t>τ</w:t>
      </w:r>
      <w:r>
        <w:rPr>
          <w:rFonts w:ascii="Times New Roman" w:hAnsi="Times New Roman" w:eastAsia="신명조"/>
          <w:b w:val="0"/>
          <w:i w:val="0"/>
          <w:sz w:val="18"/>
        </w:rPr>
        <w:t>에 대하여 식 (1)과 같이 정의된다.</w:t>
      </w:r>
    </w:p>
    <w:p>
      <w:pPr>
        <w:wordWrap w:val="0"/>
        <w:autoSpaceDE w:val="0"/>
        <w:autoSpaceDN w:val="0"/>
        <w:spacing w:after="80" w:before="0" w:line="341" w:lineRule="auto"/>
        <w:jc w:val="center"/>
      </w:pPr>
      <w:r>
        <w:rPr>
          <w:rFonts w:ascii="Times New Roman" w:hAnsi="Times New Roman" w:eastAsia="신명조"/>
          <w:b w:val="0"/>
          <w:i w:val="0"/>
          <w:sz w:val="18"/>
        </w:rPr>
        <w:t>L(</w:t>
      </w:r>
      <w:r>
        <w:rPr>
          <w:rFonts w:ascii="Times New Roman" w:hAnsi="Times New Roman" w:eastAsia="신명조"/>
          <w:b w:val="0"/>
          <w:i/>
          <w:sz w:val="18"/>
        </w:rPr>
        <w:t>τ</w:t>
      </w:r>
      <w:r>
        <w:rPr>
          <w:rFonts w:ascii="Times New Roman" w:hAnsi="Times New Roman" w:eastAsia="신명조"/>
          <w:b w:val="0"/>
          <w:i w:val="0"/>
          <w:sz w:val="18"/>
        </w:rPr>
        <w:t xml:space="preserve">; </w:t>
      </w:r>
      <w:r>
        <w:rPr>
          <w:rFonts w:ascii="Times New Roman" w:hAnsi="Times New Roman" w:eastAsia="신명조"/>
          <w:b w:val="0"/>
          <w:i/>
          <w:sz w:val="18"/>
        </w:rPr>
        <w:t>y</w:t>
      </w:r>
      <w:r>
        <w:rPr>
          <w:rFonts w:ascii="Times New Roman" w:hAnsi="Times New Roman" w:eastAsia="신명조"/>
          <w:b w:val="0"/>
          <w:i w:val="0"/>
          <w:sz w:val="18"/>
        </w:rPr>
        <w:t xml:space="preserve">, </w:t>
      </w:r>
      <w:r>
        <w:rPr>
          <w:rFonts w:ascii="Times New Roman" w:hAnsi="Times New Roman" w:eastAsia="신명조"/>
          <w:b w:val="0"/>
          <w:i/>
          <w:sz w:val="18"/>
        </w:rPr>
        <w:t>ŷ</w:t>
      </w:r>
      <w:r>
        <w:rPr>
          <w:rFonts w:ascii="Times New Roman" w:hAnsi="Times New Roman" w:eastAsia="신명조"/>
          <w:b w:val="0"/>
          <w:i w:val="0"/>
          <w:sz w:val="18"/>
        </w:rPr>
        <w:t xml:space="preserve">) = max[ </w:t>
      </w:r>
      <w:r>
        <w:rPr>
          <w:rFonts w:ascii="Times New Roman" w:hAnsi="Times New Roman" w:eastAsia="신명조"/>
          <w:b w:val="0"/>
          <w:i/>
          <w:sz w:val="18"/>
        </w:rPr>
        <w:t>τ</w:t>
      </w:r>
      <w:r>
        <w:rPr>
          <w:rFonts w:ascii="Times New Roman" w:hAnsi="Times New Roman" w:eastAsia="신명조"/>
          <w:b w:val="0"/>
          <w:i w:val="0"/>
          <w:sz w:val="18"/>
        </w:rPr>
        <w:t>(</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w:t>
      </w:r>
      <w:r>
        <w:rPr>
          <w:rFonts w:ascii="Times New Roman" w:hAnsi="Times New Roman" w:eastAsia="신명조"/>
          <w:b w:val="0"/>
          <w:i/>
          <w:sz w:val="18"/>
        </w:rPr>
        <w:t>τ</w:t>
      </w:r>
      <w:r>
        <w:rPr>
          <w:rFonts w:ascii="Times New Roman" w:hAnsi="Times New Roman" w:eastAsia="신명조"/>
          <w:b w:val="0"/>
          <w:i w:val="0"/>
          <w:sz w:val="18"/>
        </w:rPr>
        <w:t xml:space="preserve"> − 1)(</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    (1)</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본 연구는 </w:t>
      </w:r>
      <w:r>
        <w:rPr>
          <w:rFonts w:ascii="Times New Roman" w:hAnsi="Times New Roman" w:eastAsia="신명조"/>
          <w:b w:val="0"/>
          <w:i/>
          <w:sz w:val="18"/>
        </w:rPr>
        <w:t>τ</w:t>
      </w:r>
      <w:r>
        <w:rPr>
          <w:rFonts w:ascii="Times New Roman" w:hAnsi="Times New Roman" w:eastAsia="신명조"/>
          <w:b w:val="0"/>
          <w:i w:val="0"/>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문제이므로, 본 연구는 등각예측을 분위회귀에 결합한 방법[13]으로 교정 상태를 5.4절에서 점검한다.</w:t>
      </w:r>
    </w:p>
    <w:p>
      <w:pPr>
        <w:wordWrap w:val="0"/>
        <w:autoSpaceDE w:val="0"/>
        <w:autoSpaceDN w:val="0"/>
        <w:spacing w:after="60" w:before="0" w:line="300" w:lineRule="auto"/>
      </w:pPr>
      <w:r>
        <w:rPr>
          <w:rFonts w:ascii="Times New Roman" w:hAnsi="Times New Roman" w:eastAsia="중고딕"/>
          <w:b w:val="0"/>
          <w:i w:val="0"/>
          <w:sz w:val="18"/>
        </w:rPr>
        <w:t>2.4 기준 모형과 본 연구의 위치</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 지표를 주입하는 크로스어텐션 모듈은 본 연구에서 직접 설계하였다. 구체적으로 종목 시퀀스를 질의로, 매크로 시퀀스를 키·값으로 두었다. 외생변수를 어텐션으로 주입하는 발상 자체는 새롭지 않다. TimeXer[14]가 같은 문제를 다루었으며, 외생 변수를 변수 단위 토큰으로 요약해 내생 패치 토큰과 교차시킨다. 본 연구의 모듈은 매크로 시퀀스를 패치 단위로 유지한 채 키와 값으로 둔다는 점이 다르다.</w:t>
      </w:r>
    </w:p>
    <w:p>
      <w:pPr>
        <w:wordWrap w:val="0"/>
        <w:autoSpaceDE w:val="0"/>
        <w:autoSpaceDN w:val="0"/>
        <w:spacing w:after="80" w:before="0" w:line="341" w:lineRule="auto"/>
        <w:ind w:firstLine="180"/>
        <w:jc w:val="both"/>
      </w:pPr>
      <w:r>
        <w:rPr>
          <w:rFonts w:ascii="Times New Roman" w:hAnsi="Times New Roman" w:eastAsia="신명조"/>
          <w:b w:val="0"/>
          <w:i w:val="0"/>
          <w:sz w:val="18"/>
        </w:rPr>
        <w:t>1장에서 언급한 금융 시계열 딥러닝 연구[1] 가운데, 장단기기억 신경망으로 미국 주식의 방향을 예측한 연구[15]와 다수의 머신러닝 기법을 자산가격 결정에 적용한 연구[16]가 대표적이다. 국내에서는 해외지수와 투자자별 매매 동향을 입력으로 삼은 등락 예측[2], 가중 손실 함수를 적용한 순환 합성곱 구조[17]가 보고되었다. 본 연구는 [2]와 마찬가지로 해외지수와 투자자 수급을 입력에 포함하되, 이를 별도 경로의 크로스어텐션으로 주입하고 예측을 점이 아니라 분포로 산출한다는 점이 다르다.</w:t>
      </w:r>
    </w:p>
    <w:p>
      <w:pPr>
        <w:wordWrap w:val="0"/>
        <w:autoSpaceDE w:val="0"/>
        <w:autoSpaceDN w:val="0"/>
        <w:spacing w:after="80" w:before="0" w:line="341" w:lineRule="auto"/>
        <w:ind w:firstLine="180"/>
        <w:jc w:val="both"/>
      </w:pPr>
      <w:r>
        <w:rPr>
          <w:rFonts w:ascii="Times New Roman" w:hAnsi="Times New Roman" w:eastAsia="신명조"/>
          <w:b w:val="0"/>
          <w:i w:val="0"/>
          <w:sz w:val="18"/>
        </w:rPr>
        <w:t>공개 벤치마크 Qlib[18]에서는 그래디언트 부스팅 계열이 트랜스포머와 LSTM을 모두 상회한다고 보고된다(랭크 정보계수 0.047~0.051 대 0.041~0.044). 잘 조정된 단순 기준모형과의 공정한 비교가 부재하다는 점이 이 분야 문헌의 공통 약점이므로 본 연구는 동일 조건의 그래디언트 부스팅 기준모형을 함께 측정하였고, 그 결과는 6장의 한계에 밝혔다. 실질적 독립 사건 규모에서 미세조정이 성립하지 않는 시계열 기반모형은 비교에서 제외하였다.</w:t>
      </w:r>
    </w:p>
    <w:p>
      <w:pPr>
        <w:wordWrap w:val="0"/>
        <w:autoSpaceDE w:val="0"/>
        <w:autoSpaceDN w:val="0"/>
        <w:spacing w:after="80" w:before="0" w:line="300" w:lineRule="auto"/>
      </w:pPr>
      <w:r>
        <w:rPr>
          <w:rFonts w:ascii="Times New Roman" w:hAnsi="Times New Roman" w:eastAsia="견고딕"/>
          <w:b/>
          <w:i w:val="0"/>
          <w:sz w:val="20"/>
        </w:rPr>
        <w:t>3. 연구 방법</w:t>
      </w:r>
    </w:p>
    <w:p>
      <w:pPr>
        <w:wordWrap w:val="0"/>
        <w:autoSpaceDE w:val="0"/>
        <w:autoSpaceDN w:val="0"/>
        <w:spacing w:after="60" w:before="0" w:line="300" w:lineRule="auto"/>
      </w:pPr>
      <w:r>
        <w:rPr>
          <w:rFonts w:ascii="Times New Roman" w:hAnsi="Times New Roman" w:eastAsia="중고딕"/>
          <w:b w:val="0"/>
          <w:i w:val="0"/>
          <w:sz w:val="18"/>
        </w:rPr>
        <w:t>3.1 요구사항으로부터의 구조 도출</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구성요소는 모두 &lt;Table 1&gt;의 좌측 요구사항으로부터 역산되었다.</w:t>
      </w:r>
    </w:p>
    <w:p>
      <w:pPr>
        <w:wordWrap w:val="0"/>
        <w:autoSpaceDE w:val="0"/>
        <w:autoSpaceDN w:val="0"/>
        <w:spacing w:after="40" w:before="0" w:line="288" w:lineRule="auto"/>
      </w:pPr>
      <w:r>
        <w:rPr>
          <w:rFonts w:ascii="Times New Roman" w:hAnsi="Times New Roman" w:eastAsia="중고딕"/>
          <w:b w:val="0"/>
          <w:i w:val="0"/>
          <w:sz w:val="17"/>
        </w:rPr>
        <w:t>Table 1. Requirements and corresponding components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Requirement</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Required property</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Part chosen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Abstention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 distribution, not a point: q90 - q10 must exist</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head, pinball loss</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120-day lookback x 201 stocks, daily</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Sequence-length reduction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 tokenization (120 to 24)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channel-independent encoding repeats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Channel-axis reduction before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variable selection network</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Scale differs by stock and era</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Non-stationary normalization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with channel exceptions</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Local equities track global macro</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Exogenous sequence injection</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Cross-attention (this work)</w:t>
            </w:r>
          </w:p>
        </w:tc>
      </w:tr>
    </w:tbl>
    <w:p>
      <w:pPr>
        <w:spacing w:after="80"/>
      </w:pPr>
    </w:p>
    <w:p>
      <w:pPr>
        <w:wordWrap w:val="0"/>
        <w:autoSpaceDE w:val="0"/>
        <w:autoSpaceDN w:val="0"/>
        <w:spacing w:after="60" w:before="0" w:line="300" w:lineRule="auto"/>
      </w:pPr>
      <w:r>
        <w:rPr>
          <w:rFonts w:ascii="Times New Roman" w:hAnsi="Times New Roman" w:eastAsia="중고딕"/>
          <w:b w:val="0"/>
          <w:i w:val="0"/>
          <w:sz w:val="18"/>
        </w:rPr>
        <w:t>3.2 제안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1446" w:right="1134" w:bottom="879" w:left="1134" w:header="567" w:footer="567" w:gutter="0"/>
          <w:docGrid w:linePitch="360"/>
          <w:cols w:num="2" w:space="453" w:equalWidth="1"/>
        </w:sectPr>
      </w:pPr>
    </w:p>
    <w:p>
      <w:pPr>
        <w:spacing w:after="40"/>
        <w:jc w:val="center"/>
      </w:pPr>
      <w:r>
        <w:drawing>
          <wp:inline xmlns:a="http://schemas.openxmlformats.org/drawingml/2006/main" xmlns:pic="http://schemas.openxmlformats.org/drawingml/2006/picture">
            <wp:extent cx="6120000" cy="4559538"/>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120000" cy="4559538"/>
                    </a:xfrm>
                    <a:prstGeom prst="rect"/>
                  </pic:spPr>
                </pic:pic>
              </a:graphicData>
            </a:graphic>
          </wp:inline>
        </w:drawing>
      </w:r>
    </w:p>
    <w:p>
      <w:pPr>
        <w:wordWrap w:val="0"/>
        <w:autoSpaceDE w:val="0"/>
        <w:autoSpaceDN w:val="0"/>
        <w:spacing w:after="160" w:before="0" w:line="288" w:lineRule="auto"/>
        <w:jc w:val="left"/>
      </w:pPr>
      <w:r>
        <w:rPr>
          <w:rFonts w:ascii="Times New Roman" w:hAnsi="Times New Roman" w:eastAsia="중고딕"/>
          <w:b w:val="0"/>
          <w:i w:val="0"/>
          <w:sz w:val="17"/>
        </w:rPr>
        <w:t>Fig. 1. Architecture of the proposed model (a) with component detail (b-e). Colors mark the PatchTST lineage (yellow), the TFT components (blue), the macro cross-attention added in this work (teal) and the static context path (orange).</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3.3 결합 과정의 설계 결정</w:t>
      </w:r>
    </w:p>
    <w:p>
      <w:pPr>
        <w:wordWrap w:val="0"/>
        <w:autoSpaceDE w:val="0"/>
        <w:autoSpaceDN w:val="0"/>
        <w:spacing w:after="60" w:before="0" w:line="341" w:lineRule="auto"/>
      </w:pPr>
      <w:r>
        <w:rPr>
          <w:rFonts w:ascii="Times New Roman" w:hAnsi="Times New Roman" w:eastAsia="신명조"/>
          <w:b w:val="0"/>
          <w:i w:val="0"/>
          <w:sz w:val="18"/>
        </w:rPr>
        <w:t>1) 채널 독립의 유지 근거</w:t>
      </w:r>
    </w:p>
    <w:p>
      <w:pPr>
        <w:wordWrap w:val="0"/>
        <w:autoSpaceDE w:val="0"/>
        <w:autoSpaceDN w:val="0"/>
        <w:spacing w:after="80" w:before="0" w:line="341" w:lineRule="auto"/>
        <w:ind w:firstLine="180"/>
        <w:jc w:val="both"/>
      </w:pPr>
      <w:r>
        <w:rPr>
          <w:rFonts w:ascii="Times New Roman" w:hAnsi="Times New Roman" w:eastAsia="신명조"/>
          <w:b w:val="0"/>
          <w:i w:val="0"/>
          <w:sz w:val="18"/>
        </w:rPr>
        <w:t>패치 임베딩은 각 채널을 독립적으로 24개 토큰으로 변환한다. 채널 축을 줄이는 가장 싼 방법은 선형 합치기이며, 매크로 경로에는 실제로 그 방식을 썼다. 종목 채널에는 대신 변수선택망을 두었다. 소프트맥스 게이트가 정적 문맥으로 조건화되어 섹터와 시가총액 구간에 따라 다른 가중을 주기 때문이다. 다만 종목 채널까지 선형 합치기로 바꾼 변형과 정확도를 비교하지는 않았으므로, 게이트가 이 비용만큼의 값을 했는지는 가리지 못하였다(6장).</w:t>
      </w:r>
    </w:p>
    <w:p>
      <w:pPr>
        <w:wordWrap w:val="0"/>
        <w:autoSpaceDE w:val="0"/>
        <w:autoSpaceDN w:val="0"/>
        <w:spacing w:after="60" w:before="0" w:line="341" w:lineRule="auto"/>
      </w:pPr>
      <w:r>
        <w:rPr>
          <w:rFonts w:ascii="Times New Roman" w:hAnsi="Times New Roman" w:eastAsia="신명조"/>
          <w:b w:val="0"/>
          <w:i w:val="0"/>
          <w:sz w:val="18"/>
        </w:rPr>
        <w:t>2) 변수선택망의 배치</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변수선택망은 정적 문맥 </w:t>
      </w:r>
      <w:r>
        <w:rPr>
          <w:rFonts w:ascii="Times New Roman" w:hAnsi="Times New Roman" w:eastAsia="신명조"/>
          <w:b w:val="0"/>
          <w:i/>
          <w:sz w:val="18"/>
        </w:rPr>
        <w:t>c_s</w:t>
      </w:r>
      <w:r>
        <w:rPr>
          <w:rFonts w:ascii="Times New Roman" w:hAnsi="Times New Roman" w:eastAsia="신명조"/>
          <w:b w:val="0"/>
          <w:i w:val="0"/>
          <w:sz w:val="18"/>
        </w:rPr>
        <w:t>로 조건화된 소프트맥스 게이트를 채널 축에 적용한다(식 2, 3).</w:t>
      </w:r>
    </w:p>
    <w:p>
      <w:pPr>
        <w:wordWrap w:val="0"/>
        <w:autoSpaceDE w:val="0"/>
        <w:autoSpaceDN w:val="0"/>
        <w:spacing w:after="80" w:before="0" w:line="341" w:lineRule="auto"/>
        <w:jc w:val="center"/>
      </w:pPr>
      <w:r>
        <w:rPr>
          <w:rFonts w:ascii="Times New Roman" w:hAnsi="Times New Roman" w:eastAsia="신명조"/>
          <w:b w:val="0"/>
          <w:i/>
          <w:sz w:val="18"/>
        </w:rPr>
        <w:t>α</w:t>
      </w:r>
      <w:r>
        <w:rPr>
          <w:rFonts w:ascii="Times New Roman" w:hAnsi="Times New Roman" w:eastAsia="신명조"/>
          <w:b w:val="0"/>
          <w:i w:val="0"/>
          <w:sz w:val="18"/>
        </w:rPr>
        <w:t xml:space="preserve"> = softmax( GRN( [ flat(</w:t>
      </w:r>
      <w:r>
        <w:rPr>
          <w:rFonts w:ascii="Times New Roman" w:hAnsi="Times New Roman" w:eastAsia="신명조"/>
          <w:b w:val="0"/>
          <w:i/>
          <w:sz w:val="18"/>
        </w:rPr>
        <w:t>E</w:t>
      </w:r>
      <w:r>
        <w:rPr>
          <w:rFonts w:ascii="Times New Roman" w:hAnsi="Times New Roman" w:eastAsia="신명조"/>
          <w:b w:val="0"/>
          <w:i w:val="0"/>
          <w:sz w:val="18"/>
        </w:rPr>
        <w:t xml:space="preserve">) ; </w:t>
      </w:r>
      <w:r>
        <w:rPr>
          <w:rFonts w:ascii="Times New Roman" w:hAnsi="Times New Roman" w:eastAsia="신명조"/>
          <w:b w:val="0"/>
          <w:i/>
          <w:sz w:val="18"/>
        </w:rPr>
        <w:t>c</w:t>
      </w:r>
      <w:r>
        <w:rPr>
          <w:rFonts w:ascii="Times New Roman" w:hAnsi="Times New Roman" w:eastAsia="신명조"/>
          <w:b w:val="0"/>
          <w:i/>
          <w:sz w:val="18"/>
          <w:vertAlign w:val="subscript"/>
        </w:rPr>
        <w:t>s</w:t>
      </w:r>
      <w:r>
        <w:rPr>
          <w:rFonts w:ascii="Times New Roman" w:hAnsi="Times New Roman" w:eastAsia="신명조"/>
          <w:b w:val="0"/>
          <w:i w:val="0"/>
          <w:sz w:val="18"/>
        </w:rPr>
        <w:t xml:space="preserve"> ] ) ) ∈ ℝ</w:t>
      </w:r>
      <w:r>
        <w:rPr>
          <w:rFonts w:ascii="Times New Roman" w:hAnsi="Times New Roman" w:eastAsia="신명조"/>
          <w:b w:val="0"/>
          <w:i/>
          <w:sz w:val="18"/>
          <w:vertAlign w:val="superscript"/>
        </w:rPr>
        <w:t>C</w:t>
      </w:r>
      <w:r>
        <w:rPr>
          <w:rFonts w:ascii="Times New Roman" w:hAnsi="Times New Roman" w:eastAsia="신명조"/>
          <w:b w:val="0"/>
          <w:i w:val="0"/>
          <w:sz w:val="18"/>
        </w:rPr>
        <w:t xml:space="preserve">    (2)</w:t>
      </w:r>
    </w:p>
    <w:p>
      <w:pPr>
        <w:wordWrap w:val="0"/>
        <w:autoSpaceDE w:val="0"/>
        <w:autoSpaceDN w:val="0"/>
        <w:spacing w:after="80" w:before="0" w:line="341" w:lineRule="auto"/>
        <w:jc w:val="center"/>
      </w:pPr>
      <w:r>
        <w:rPr>
          <w:rFonts w:ascii="Times New Roman" w:hAnsi="Times New Roman" w:eastAsia="신명조"/>
          <w:b w:val="0"/>
          <w:i/>
          <w:sz w:val="18"/>
        </w:rPr>
        <w:t>Z</w:t>
      </w:r>
      <w:r>
        <w:rPr>
          <w:rFonts w:ascii="Times New Roman" w:hAnsi="Times New Roman" w:eastAsia="신명조"/>
          <w:b w:val="0"/>
          <w:i w:val="0"/>
          <w:sz w:val="18"/>
        </w:rPr>
        <w:t xml:space="preserve"> = Σ </w:t>
      </w:r>
      <w:r>
        <w:rPr>
          <w:rFonts w:ascii="Times New Roman" w:hAnsi="Times New Roman" w:eastAsia="신명조"/>
          <w:b w:val="0"/>
          <w:i/>
          <w:sz w:val="18"/>
        </w:rPr>
        <w:t>α</w:t>
      </w:r>
      <w:r>
        <w:rPr>
          <w:rFonts w:ascii="Times New Roman" w:hAnsi="Times New Roman" w:eastAsia="신명조"/>
          <w:b w:val="0"/>
          <w:i/>
          <w:sz w:val="18"/>
          <w:vertAlign w:val="subscript"/>
        </w:rPr>
        <w:t>i</w:t>
      </w:r>
      <w:r>
        <w:rPr>
          <w:rFonts w:ascii="Times New Roman" w:hAnsi="Times New Roman" w:eastAsia="신명조"/>
          <w:b w:val="0"/>
          <w:i w:val="0"/>
          <w:sz w:val="18"/>
        </w:rPr>
        <w:t xml:space="preserve"> · GRN</w:t>
      </w:r>
      <w:r>
        <w:rPr>
          <w:rFonts w:ascii="Times New Roman" w:hAnsi="Times New Roman" w:eastAsia="신명조"/>
          <w:b w:val="0"/>
          <w:i/>
          <w:sz w:val="18"/>
          <w:vertAlign w:val="subscript"/>
        </w:rPr>
        <w:t>i</w:t>
      </w:r>
      <w:r>
        <w:rPr>
          <w:rFonts w:ascii="Times New Roman" w:hAnsi="Times New Roman" w:eastAsia="신명조"/>
          <w:b w:val="0"/>
          <w:i w:val="0"/>
          <w:sz w:val="18"/>
        </w:rPr>
        <w:t>(</w:t>
      </w:r>
      <w:r>
        <w:rPr>
          <w:rFonts w:ascii="Times New Roman" w:hAnsi="Times New Roman" w:eastAsia="신명조"/>
          <w:b w:val="0"/>
          <w:i/>
          <w:sz w:val="18"/>
        </w:rPr>
        <w:t>E</w:t>
      </w:r>
      <w:r>
        <w:rPr>
          <w:rFonts w:ascii="Times New Roman" w:hAnsi="Times New Roman" w:eastAsia="신명조"/>
          <w:b w:val="0"/>
          <w:i/>
          <w:sz w:val="18"/>
          <w:vertAlign w:val="subscript"/>
        </w:rPr>
        <w:t>i</w:t>
      </w:r>
      <w:r>
        <w:rPr>
          <w:rFonts w:ascii="Times New Roman" w:hAnsi="Times New Roman" w:eastAsia="신명조"/>
          <w:b w:val="0"/>
          <w:i w:val="0"/>
          <w:sz w:val="18"/>
        </w:rPr>
        <w:t>)    (3)</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변수선택망을 인코더 뒤에 두면 인코더가 채널 축을 그대로 받아 채널 수만큼 반복 실행된다. 앞에 두면 채널이 먼저 하나로 축약되어 인코더가 1회만 실행된다. 이전 설정(17채널)에서 순전파를 실측한 결과 259ms에서 52ms로 5배 단축되었다. 변수선택망이 패치 임베딩을 입력받아 채널을 가중하므로 </w:t>
      </w:r>
      <w:r>
        <w:rPr>
          <w:rFonts w:ascii="Times New Roman" w:hAnsi="Times New Roman" w:eastAsia="신명조"/>
          <w:b w:val="0"/>
          <w:i/>
          <w:sz w:val="18"/>
        </w:rPr>
        <w:t>α</w:t>
      </w:r>
      <w:r>
        <w:rPr>
          <w:rFonts w:ascii="Times New Roman" w:hAnsi="Times New Roman" w:eastAsia="신명조"/>
          <w:b w:val="0"/>
          <w:i w:val="0"/>
          <w:sz w:val="18"/>
        </w:rPr>
        <w:t>는 각 채널의 사용 비중으로 남는다. 다만 본 연구는 이 값을 매매 근거로 제시하지 않는다(6장).</w:t>
      </w:r>
    </w:p>
    <w:p>
      <w:pPr>
        <w:wordWrap w:val="0"/>
        <w:autoSpaceDE w:val="0"/>
        <w:autoSpaceDN w:val="0"/>
        <w:spacing w:after="60" w:before="0" w:line="341" w:lineRule="auto"/>
      </w:pPr>
      <w:r>
        <w:rPr>
          <w:rFonts w:ascii="Times New Roman" w:hAnsi="Times New Roman" w:eastAsia="신명조"/>
          <w:b w:val="0"/>
          <w:i w:val="0"/>
          <w:sz w:val="18"/>
        </w:rPr>
        <w:t>3) 매크로 크로스어텐션의 방향</w:t>
      </w:r>
    </w:p>
    <w:p>
      <w:pPr>
        <w:wordWrap w:val="0"/>
        <w:autoSpaceDE w:val="0"/>
        <w:autoSpaceDN w:val="0"/>
        <w:spacing w:after="80" w:before="0" w:line="341" w:lineRule="auto"/>
        <w:ind w:firstLine="180"/>
        <w:jc w:val="both"/>
      </w:pPr>
      <w:r>
        <w:rPr>
          <w:rFonts w:ascii="Times New Roman" w:hAnsi="Times New Roman" w:eastAsia="신명조"/>
          <w:b w:val="0"/>
          <w:i w:val="0"/>
          <w:sz w:val="18"/>
        </w:rPr>
        <w:t>종목 표현을 질의로, 매크로 부호화를 키·값으로 설정하였다(식 4).</w:t>
      </w:r>
    </w:p>
    <w:p>
      <w:pPr>
        <w:wordWrap w:val="0"/>
        <w:autoSpaceDE w:val="0"/>
        <w:autoSpaceDN w:val="0"/>
        <w:spacing w:after="80" w:before="0" w:line="341" w:lineRule="auto"/>
        <w:jc w:val="center"/>
      </w:pPr>
      <w:r>
        <w:rPr>
          <w:rFonts w:ascii="Times New Roman" w:hAnsi="Times New Roman" w:eastAsia="신명조"/>
          <w:b w:val="0"/>
          <w:i w:val="0"/>
          <w:sz w:val="18"/>
        </w:rPr>
        <w:t>CrossAttn(</w:t>
      </w:r>
      <w:r>
        <w:rPr>
          <w:rFonts w:ascii="Times New Roman" w:hAnsi="Times New Roman" w:eastAsia="신명조"/>
          <w:b w:val="0"/>
          <w:i/>
          <w:sz w:val="18"/>
        </w:rPr>
        <w:t>Z</w:t>
      </w:r>
      <w:r>
        <w:rPr>
          <w:rFonts w:ascii="Times New Roman" w:hAnsi="Times New Roman" w:eastAsia="신명조"/>
          <w:b w:val="0"/>
          <w:i w:val="0"/>
          <w:sz w:val="18"/>
        </w:rPr>
        <w:t xml:space="preserve">,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 softmax[ (</w:t>
      </w:r>
      <w:r>
        <w:rPr>
          <w:rFonts w:ascii="Times New Roman" w:hAnsi="Times New Roman" w:eastAsia="신명조"/>
          <w:b w:val="0"/>
          <w:i/>
          <w:sz w:val="18"/>
        </w:rPr>
        <w:t>Z W</w:t>
      </w:r>
      <w:r>
        <w:rPr>
          <w:rFonts w:ascii="Times New Roman" w:hAnsi="Times New Roman" w:eastAsia="신명조"/>
          <w:b w:val="0"/>
          <w:i/>
          <w:sz w:val="18"/>
          <w:vertAlign w:val="subscript"/>
        </w:rPr>
        <w:t>Q</w:t>
      </w:r>
      <w:r>
        <w:rPr>
          <w:rFonts w:ascii="Times New Roman" w:hAnsi="Times New Roman" w:eastAsia="신명조"/>
          <w:b w:val="0"/>
          <w:i w:val="0"/>
          <w:sz w:val="18"/>
        </w:rPr>
        <w:t>)(</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K</w:t>
      </w:r>
      <w:r>
        <w:rPr>
          <w:rFonts w:ascii="Times New Roman" w:hAnsi="Times New Roman" w:eastAsia="신명조"/>
          <w:b w:val="0"/>
          <w:i w:val="0"/>
          <w:sz w:val="18"/>
        </w:rPr>
        <w:t>)</w:t>
      </w:r>
      <w:r>
        <w:rPr>
          <w:rFonts w:ascii="Times New Roman" w:hAnsi="Times New Roman" w:eastAsia="신명조"/>
          <w:b w:val="0"/>
          <w:i/>
          <w:sz w:val="18"/>
          <w:vertAlign w:val="superscript"/>
        </w:rPr>
        <w:t>T</w:t>
      </w:r>
      <w:r>
        <w:rPr>
          <w:rFonts w:ascii="Times New Roman" w:hAnsi="Times New Roman" w:eastAsia="신명조"/>
          <w:b w:val="0"/>
          <w:i w:val="0"/>
          <w:sz w:val="18"/>
        </w:rPr>
        <w:t xml:space="preserve"> ∕ √</w:t>
      </w:r>
      <w:r>
        <w:rPr>
          <w:rFonts w:ascii="Times New Roman" w:hAnsi="Times New Roman" w:eastAsia="신명조"/>
          <w:b w:val="0"/>
          <w:i/>
          <w:sz w:val="18"/>
        </w:rPr>
        <w:t>d</w:t>
      </w:r>
      <w:r>
        <w:rPr>
          <w:rFonts w:ascii="Times New Roman" w:hAnsi="Times New Roman" w:eastAsia="신명조"/>
          <w:b w:val="0"/>
          <w:i/>
          <w:sz w:val="18"/>
          <w:vertAlign w:val="subscript"/>
        </w:rPr>
        <w:t>k</w:t>
      </w:r>
      <w:r>
        <w:rPr>
          <w:rFonts w:ascii="Times New Roman" w:hAnsi="Times New Roman" w:eastAsia="신명조"/>
          <w:b w:val="0"/>
          <w:i w:val="0"/>
          <w:sz w:val="18"/>
        </w:rPr>
        <w:t xml:space="preserve"> ]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V</w:t>
      </w:r>
      <w:r>
        <w:rPr>
          <w:rFonts w:ascii="Times New Roman" w:hAnsi="Times New Roman" w:eastAsia="신명조"/>
          <w:b w:val="0"/>
          <w:i w:val="0"/>
          <w:sz w:val="18"/>
        </w:rPr>
        <w:t>)    (4)</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w:t>
      </w:r>
    </w:p>
    <w:p>
      <w:pPr>
        <w:wordWrap w:val="0"/>
        <w:autoSpaceDE w:val="0"/>
        <w:autoSpaceDN w:val="0"/>
        <w:spacing w:after="60" w:before="0" w:line="341" w:lineRule="auto"/>
      </w:pPr>
      <w:r>
        <w:rPr>
          <w:rFonts w:ascii="Times New Roman" w:hAnsi="Times New Roman" w:eastAsia="신명조"/>
          <w:b w:val="0"/>
          <w:i w:val="0"/>
          <w:sz w:val="18"/>
        </w:rPr>
        <w:t>4) 분위 단조성의 구조적 보장과 헤드 초기화</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교차를 손실 벌점이 아니라 누적 소프트플러스 구조로 원천 차단하였다(식 5).</w:t>
      </w:r>
    </w:p>
    <w:p>
      <w:pPr>
        <w:wordWrap w:val="0"/>
        <w:autoSpaceDE w:val="0"/>
        <w:autoSpaceDN w:val="0"/>
        <w:spacing w:after="80" w:before="0" w:line="341" w:lineRule="auto"/>
        <w:jc w:val="center"/>
      </w:pP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w:t>
      </w:r>
      <w:r>
        <w:rPr>
          <w:rFonts w:ascii="Times New Roman" w:hAnsi="Times New Roman" w:eastAsia="신명조"/>
          <w:b w:val="0"/>
          <w:i/>
          <w:sz w:val="18"/>
        </w:rPr>
        <w:t>o</w:t>
      </w:r>
      <w:r>
        <w:rPr>
          <w:rFonts w:ascii="Times New Roman" w:hAnsi="Times New Roman" w:eastAsia="신명조"/>
          <w:b w:val="0"/>
          <w:i/>
          <w:sz w:val="18"/>
          <w:vertAlign w:val="subscript"/>
        </w:rPr>
        <w:t>1</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2</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90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3</w:t>
      </w:r>
      <w:r>
        <w:rPr>
          <w:rFonts w:ascii="Times New Roman" w:hAnsi="Times New Roman" w:eastAsia="신명조"/>
          <w:b w:val="0"/>
          <w:i w:val="0"/>
          <w:sz w:val="18"/>
        </w:rPr>
        <w:t>)    (5)</w:t>
      </w:r>
    </w:p>
    <w:p>
      <w:pPr>
        <w:wordWrap w:val="0"/>
        <w:autoSpaceDE w:val="0"/>
        <w:autoSpaceDN w:val="0"/>
        <w:spacing w:after="80" w:before="0" w:line="341" w:lineRule="auto"/>
        <w:ind w:firstLine="180"/>
        <w:jc w:val="both"/>
      </w:pPr>
      <w:r>
        <w:rPr>
          <w:rFonts w:ascii="Times New Roman" w:hAnsi="Times New Roman" w:eastAsia="신명조"/>
          <w:b w:val="0"/>
          <w:i w:val="0"/>
          <w:sz w:val="18"/>
        </w:rPr>
        <w:t>교차가 발생하면 기권 폭이 음수가 되어 하위 규칙 전체가 무효화되므로 구조적 보장이 필요하다. 5.1절의 세 모형 모두 실측 교차율은 0.000이었다.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헤드의 초기화도 성능에 영향을 주었다. 기본 초기화에서는 softplus(0) = 0.693이라 분위 간격이 윈도우 변동성 </w:t>
      </w:r>
      <w:r>
        <w:rPr>
          <w:rFonts w:ascii="Times New Roman" w:hAnsi="Times New Roman" w:eastAsia="신명조"/>
          <w:b w:val="0"/>
          <w:i/>
          <w:sz w:val="18"/>
        </w:rPr>
        <w:t>σ</w:t>
      </w:r>
      <w:r>
        <w:rPr>
          <w:rFonts w:ascii="Times New Roman" w:hAnsi="Times New Roman" w:eastAsia="신명조"/>
          <w:b w:val="0"/>
          <w:i w:val="0"/>
          <w:sz w:val="18"/>
        </w:rPr>
        <w:t xml:space="preserve"> 단위로 0.693씩 고정된다. 분위 출력에는 RevIN이 구한 </w:t>
      </w:r>
      <w:r>
        <w:rPr>
          <w:rFonts w:ascii="Times New Roman" w:hAnsi="Times New Roman" w:eastAsia="신명조"/>
          <w:b w:val="0"/>
          <w:i/>
          <w:sz w:val="18"/>
        </w:rPr>
        <w:t>σ</w:t>
      </w:r>
      <w:r>
        <w:rPr>
          <w:rFonts w:ascii="Times New Roman" w:hAnsi="Times New Roman" w:eastAsia="신명조"/>
          <w:b w:val="0"/>
          <w:i w:val="0"/>
          <w:sz w:val="18"/>
        </w:rPr>
        <w:t>, 즉 일간 수익률 채널의 윈도우 표준편차가 다시 곱해지므로 초기 q10~q90 폭은 1.386</w:t>
      </w:r>
      <w:r>
        <w:rPr>
          <w:rFonts w:ascii="Times New Roman" w:hAnsi="Times New Roman" w:eastAsia="신명조"/>
          <w:b w:val="0"/>
          <w:i/>
          <w:sz w:val="18"/>
        </w:rPr>
        <w:t>σ</w:t>
      </w:r>
      <w:r>
        <w:rPr>
          <w:rFonts w:ascii="Times New Roman" w:hAnsi="Times New Roman" w:eastAsia="신명조"/>
          <w:b w:val="0"/>
          <w:i w:val="0"/>
          <w:sz w:val="18"/>
        </w:rPr>
        <w:t xml:space="preserve">이고, 학습구간 평균 </w:t>
      </w:r>
      <w:r>
        <w:rPr>
          <w:rFonts w:ascii="Times New Roman" w:hAnsi="Times New Roman" w:eastAsia="신명조"/>
          <w:b w:val="0"/>
          <w:i/>
          <w:sz w:val="18"/>
        </w:rPr>
        <w:t>σ</w:t>
      </w:r>
      <w:r>
        <w:rPr>
          <w:rFonts w:ascii="Times New Roman" w:hAnsi="Times New Roman" w:eastAsia="신명조"/>
          <w:b w:val="0"/>
          <w:i w:val="0"/>
          <w:sz w:val="18"/>
        </w:rPr>
        <w:t>로 환산하면 0.035이다. 5일 수익률의 전체 분위 폭 0.124의 0.28배로, 목표 분포와 어긋난 지점에서 학습이 시작된다. 이 경우 검증 손실은 0.013993으로 기준선 0.013285보다 5.3% 열등하였다(이전 설정의 측정값이다). 최종층 편향을 학습자료의 무조건부 분위수로 설정하여 해소하였으며, 최종층 가중치는 작게 두되 0이면 기울기가 인코더까지 전달되지 않으므로 0이 아닌 작은 값으로 두었다.</w:t>
      </w:r>
    </w:p>
    <w:p>
      <w:pPr>
        <w:wordWrap w:val="0"/>
        <w:autoSpaceDE w:val="0"/>
        <w:autoSpaceDN w:val="0"/>
        <w:spacing w:after="60" w:before="0" w:line="300" w:lineRule="auto"/>
      </w:pPr>
      <w:r>
        <w:rPr>
          <w:rFonts w:ascii="Times New Roman" w:hAnsi="Times New Roman" w:eastAsia="중고딕"/>
          <w:b w:val="0"/>
          <w:i w:val="0"/>
          <w:sz w:val="18"/>
        </w:rPr>
        <w:t>3.4 최종 설정</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2&gt;는 이후 모든 실험에 사용한 설정이다. 정규화는 2.3절에서 기술한 방식을 따른다.</w:t>
      </w:r>
    </w:p>
    <w:p>
      <w:pPr>
        <w:wordWrap w:val="0"/>
        <w:autoSpaceDE w:val="0"/>
        <w:autoSpaceDN w:val="0"/>
        <w:spacing w:after="40" w:before="0" w:line="288" w:lineRule="auto"/>
      </w:pPr>
      <w:r>
        <w:rPr>
          <w:rFonts w:ascii="Times New Roman" w:hAnsi="Times New Roman" w:eastAsia="중고딕"/>
          <w:b w:val="0"/>
          <w:i w:val="0"/>
          <w:sz w:val="17"/>
        </w:rPr>
        <w:t>Table 2. Final model configuration</w:t>
      </w:r>
    </w:p>
    <w:tbl>
      <w:tblPr>
        <w:tblW w:type="auto" w:w="0"/>
        <w:jc w:val="center"/>
        <w:tblLayout w:type="fixed"/>
        <w:tblLook w:firstColumn="1" w:firstRow="1" w:lastColumn="0" w:lastRow="0" w:noHBand="0" w:noVBand="1" w:val="04A0"/>
      </w:tblPr>
      <w:tblGrid>
        <w:gridCol w:w="4819"/>
        <w:gridCol w:w="4819"/>
      </w:tblGrid>
      <w:tr>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Item</w:t>
            </w:r>
          </w:p>
        </w:tc>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Value</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Lookback / patch / stride</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120 / 5 / 5, giving 24 tokens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d_model / heads / layers / d_ff / dropout</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32 / 2 / 1 / 64 / 0.5</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0.1, 0.5, 0.9</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 macro / static inputs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 channels / 13 channels / 3 categoricals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Normalization</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applied selectively by channel</w:t>
            </w:r>
          </w:p>
        </w:tc>
      </w:tr>
      <w:tr>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Parameters</w:t>
            </w:r>
          </w:p>
        </w:tc>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0.50M</w:t>
            </w:r>
          </w:p>
        </w:tc>
      </w:tr>
    </w:tbl>
    <w:p>
      <w:pPr>
        <w:spacing w:after="80"/>
      </w:pPr>
    </w:p>
    <w:p>
      <w:pPr>
        <w:wordWrap w:val="0"/>
        <w:autoSpaceDE w:val="0"/>
        <w:autoSpaceDN w:val="0"/>
        <w:spacing w:after="80" w:before="0" w:line="300" w:lineRule="auto"/>
      </w:pPr>
      <w:r>
        <w:rPr>
          <w:rFonts w:ascii="Times New Roman" w:hAnsi="Times New Roman" w:eastAsia="견고딕"/>
          <w:b/>
          <w:i w:val="0"/>
          <w:sz w:val="20"/>
        </w:rPr>
        <w:t>4. 자료와 실험 설계</w:t>
      </w:r>
    </w:p>
    <w:p>
      <w:pPr>
        <w:wordWrap w:val="0"/>
        <w:autoSpaceDE w:val="0"/>
        <w:autoSpaceDN w:val="0"/>
        <w:spacing w:after="60" w:before="0" w:line="300" w:lineRule="auto"/>
      </w:pPr>
      <w:r>
        <w:rPr>
          <w:rFonts w:ascii="Times New Roman" w:hAnsi="Times New Roman" w:eastAsia="중고딕"/>
          <w:b w:val="0"/>
          <w:i w:val="0"/>
          <w:sz w:val="18"/>
        </w:rPr>
        <w:t>4.1 자료</w:t>
      </w:r>
    </w:p>
    <w:p>
      <w:pPr>
        <w:wordWrap w:val="0"/>
        <w:autoSpaceDE w:val="0"/>
        <w:autoSpaceDN w:val="0"/>
        <w:spacing w:after="80" w:before="0" w:line="341" w:lineRule="auto"/>
        <w:ind w:firstLine="180"/>
        <w:jc w:val="both"/>
      </w:pPr>
      <w:r>
        <w:rPr>
          <w:rFonts w:ascii="Times New Roman" w:hAnsi="Times New Roman" w:eastAsia="신명조"/>
          <w:b w:val="0"/>
          <w:i w:val="0"/>
          <w:sz w:val="18"/>
        </w:rPr>
        <w:t>분석 자료는 코스피200 구성종목 201개의 2015년 이후 일별 자료이며, 종목당 최대 2,857거래일이다.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상이하여(공통 1,887일, 전체 2,857일) 공통 달력을 강제하면 34%의 자료가 소실되므로, 윈도우는 각 종목의 자기 행 위에서 구성하였다. 모형과 평가 코드는 교신저자에게 요청하면 제공하며, 원자료는 증권사 API 이용 약관상 재배포할 수 없다.</w:t>
      </w:r>
    </w:p>
    <w:p>
      <w:pPr>
        <w:wordWrap w:val="0"/>
        <w:autoSpaceDE w:val="0"/>
        <w:autoSpaceDN w:val="0"/>
        <w:spacing w:after="60" w:before="0" w:line="300" w:lineRule="auto"/>
      </w:pPr>
      <w:r>
        <w:rPr>
          <w:rFonts w:ascii="Times New Roman" w:hAnsi="Times New Roman" w:eastAsia="중고딕"/>
          <w:b w:val="0"/>
          <w:i w:val="0"/>
          <w:sz w:val="18"/>
        </w:rPr>
        <w:t>4.2 변수와 목표변수</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3&gt;은 입력 변수의 구성이다. 동적 30채널 가운데 기술적 지표 8채널은 수렴·발산 지표(3), 상대강도지수, 상품채널지수, 볼린저 밴드(2), 실질변동폭(ATR)이다.</w:t>
      </w:r>
    </w:p>
    <w:p>
      <w:pPr>
        <w:wordWrap w:val="0"/>
        <w:autoSpaceDE w:val="0"/>
        <w:autoSpaceDN w:val="0"/>
        <w:spacing w:after="40" w:before="0" w:line="288" w:lineRule="auto"/>
      </w:pPr>
      <w:r>
        <w:rPr>
          <w:rFonts w:ascii="Times New Roman" w:hAnsi="Times New Roman" w:eastAsia="중고딕"/>
          <w:b w:val="0"/>
          <w:i w:val="0"/>
          <w:sz w:val="17"/>
        </w:rPr>
        <w:t>Table 3. Input channels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Group</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Channels</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(stock)</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returns and momentum (5), trading activity (4), moving-average gaps (3), technical indicators (8), index-relative (6), investor flows (4)</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Macro sequences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KOSPI and KOSDAQ derivatives, overseas index exchange-traded funds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Static categoricals</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sector, market-cap bucket, weekday</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3</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정적 범주형 세 개는 섹터, 시가총액 구간, 요일이다. 시가총액 구간은 학습구간 종료일의 시가총액으로 고정하였다(6장). 요일은 개체의 고정 속성이 아니라 시점마다 달라지는 사전 알려진 공변량인데, 구현에서는 윈도우 마지막 날의 요일을 정적 입력으로 넣었다. TFT 용어의 known future input 에 해당하므로 분류가 정확하지 않다.</w:t>
      </w:r>
    </w:p>
    <w:p>
      <w:pPr>
        <w:wordWrap w:val="0"/>
        <w:autoSpaceDE w:val="0"/>
        <w:autoSpaceDN w:val="0"/>
        <w:spacing w:after="80" w:before="0" w:line="341" w:lineRule="auto"/>
        <w:ind w:firstLine="180"/>
        <w:jc w:val="both"/>
      </w:pPr>
      <w:r>
        <w:rPr>
          <w:rFonts w:ascii="Times New Roman" w:hAnsi="Times New Roman" w:eastAsia="신명조"/>
          <w:b w:val="0"/>
          <w:i w:val="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 1·2·3일 보조 지평은 패널에 생성해 두었으나 본 실험의 세 모형은 사용하지 않았으며, 출력은 5일 지평의 세 분위뿐이다.</w:t>
      </w:r>
    </w:p>
    <w:p>
      <w:pPr>
        <w:wordWrap w:val="0"/>
        <w:autoSpaceDE w:val="0"/>
        <w:autoSpaceDN w:val="0"/>
        <w:spacing w:after="80" w:before="0" w:line="341" w:lineRule="auto"/>
        <w:ind w:firstLine="180"/>
        <w:jc w:val="both"/>
      </w:pPr>
      <w:r>
        <w:rPr>
          <w:rFonts w:ascii="Times New Roman" w:hAnsi="Times New Roman" w:eastAsia="신명조"/>
          <w:b w:val="0"/>
          <w:i w:val="0"/>
          <w:sz w:val="18"/>
        </w:rPr>
        <w:t>목표를 초과수익으로 정렬하는 과정에서 설계 하나가 바뀌었다. 모형에 지수 대비 상대 성과를 나타내는 채널이 없으면 검증구간과 검정구간의 방향 예측력 부호가 엇갈렸다. 상대강도와 베타, 그 횡단면 순위를 추가하여 동적 채널을 24개에서 30개로 늘린 뒤 두 구간의 부호가 일치하였다.</w:t>
      </w:r>
    </w:p>
    <w:p>
      <w:pPr>
        <w:wordWrap w:val="0"/>
        <w:autoSpaceDE w:val="0"/>
        <w:autoSpaceDN w:val="0"/>
        <w:spacing w:after="80" w:before="0" w:line="341" w:lineRule="auto"/>
        <w:jc w:val="center"/>
      </w:pPr>
      <w:r>
        <w:rPr>
          <w:rFonts w:ascii="Times New Roman" w:hAnsi="Times New Roman" w:eastAsia="신명조"/>
          <w:b w:val="0"/>
          <w:i/>
          <w:sz w:val="18"/>
        </w:rPr>
        <w:t>y</w:t>
      </w:r>
      <w:r>
        <w:rPr>
          <w:rFonts w:ascii="Times New Roman" w:hAnsi="Times New Roman" w:eastAsia="신명조"/>
          <w:b w:val="0"/>
          <w:i/>
          <w:sz w:val="18"/>
          <w:vertAlign w:val="subscript"/>
        </w:rPr>
        <w:t>t</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perscript"/>
        </w:rPr>
        <w:t>index</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(6)</w:t>
      </w:r>
    </w:p>
    <w:p>
      <w:pPr>
        <w:wordWrap w:val="0"/>
        <w:autoSpaceDE w:val="0"/>
        <w:autoSpaceDN w:val="0"/>
        <w:spacing w:after="60" w:before="0" w:line="300" w:lineRule="auto"/>
      </w:pPr>
      <w:r>
        <w:rPr>
          <w:rFonts w:ascii="Times New Roman" w:hAnsi="Times New Roman" w:eastAsia="중고딕"/>
          <w:b w:val="0"/>
          <w:i w:val="0"/>
          <w:sz w:val="18"/>
        </w:rPr>
        <w:t>4.3 분할과 기준선</w:t>
      </w:r>
    </w:p>
    <w:p>
      <w:pPr>
        <w:wordWrap w:val="0"/>
        <w:autoSpaceDE w:val="0"/>
        <w:autoSpaceDN w:val="0"/>
        <w:spacing w:after="80" w:before="0" w:line="341" w:lineRule="auto"/>
        <w:ind w:firstLine="180"/>
        <w:jc w:val="both"/>
      </w:pPr>
      <w:r>
        <w:rPr>
          <w:rFonts w:ascii="Times New Roman" w:hAnsi="Times New Roman" w:eastAsia="신명조"/>
          <w:b w:val="0"/>
          <w:i w:val="0"/>
          <w:sz w:val="18"/>
        </w:rPr>
        <w:t>분할은 종목이 아니라 날짜 기준 전역 분할이다. 2022년까지 학습, 2023년 검증, 2024년 이후 검정이며, 목표가 5일 앞을 보므로 각 경계에 5일 격리구간을 둔다. 정규화 통계는 학습 구간 행에서만 추정한다.</w:t>
      </w:r>
    </w:p>
    <w:p>
      <w:pPr>
        <w:wordWrap w:val="0"/>
        <w:autoSpaceDE w:val="0"/>
        <w:autoSpaceDN w:val="0"/>
        <w:spacing w:after="80" w:before="0" w:line="341" w:lineRule="auto"/>
        <w:ind w:firstLine="180"/>
        <w:jc w:val="both"/>
      </w:pPr>
      <w:r>
        <w:rPr>
          <w:rFonts w:ascii="Times New Roman" w:hAnsi="Times New Roman" w:eastAsia="신명조"/>
          <w:b w:val="0"/>
          <w:i w:val="0"/>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검정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인접 표본은 120일 중 119일의 입력과 5일 중 4일의 목표를 공유한다. 명목 학습 행 264,653건 가운데 비중첩 표본은 약 52,900건이고, 같은 날짜의 201개 종목이 시장 공통요인으로 묶이므로 날짜 단위로 세면 약 1,900거래일이다. 목표가 5일씩 겹치는 것까지 반영해 비중첩으로 세면 약 380개로 줄어든다. 이전 설정(146종목·17채널)의 탐색에서 더 큰 설정은 1~2회차에 과적합되었고, 같은 구조를 30채널로 확장한 결과가 0.50M이다.</w:t>
      </w:r>
    </w:p>
    <w:p>
      <w:pPr>
        <w:wordWrap w:val="0"/>
        <w:autoSpaceDE w:val="0"/>
        <w:autoSpaceDN w:val="0"/>
        <w:spacing w:after="80" w:before="0" w:line="341" w:lineRule="auto"/>
        <w:ind w:firstLine="180"/>
        <w:jc w:val="both"/>
      </w:pPr>
      <w:r>
        <w:rPr>
          <w:rFonts w:ascii="Times New Roman" w:hAnsi="Times New Roman" w:eastAsia="신명조"/>
          <w:b w:val="0"/>
          <w:i w:val="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wordWrap w:val="0"/>
        <w:autoSpaceDE w:val="0"/>
        <w:autoSpaceDN w:val="0"/>
        <w:spacing w:after="60" w:before="0" w:line="300" w:lineRule="auto"/>
      </w:pPr>
      <w:r>
        <w:rPr>
          <w:rFonts w:ascii="Times New Roman" w:hAnsi="Times New Roman" w:eastAsia="중고딕"/>
          <w:b w:val="0"/>
          <w:i w:val="0"/>
          <w:sz w:val="18"/>
        </w:rPr>
        <w:t>4.4 기권 규칙</w:t>
      </w:r>
    </w:p>
    <w:p>
      <w:pPr>
        <w:wordWrap w:val="0"/>
        <w:autoSpaceDE w:val="0"/>
        <w:autoSpaceDN w:val="0"/>
        <w:spacing w:after="80" w:before="0" w:line="341" w:lineRule="auto"/>
        <w:ind w:firstLine="180"/>
        <w:jc w:val="both"/>
      </w:pPr>
      <w:r>
        <w:rPr>
          <w:rFonts w:ascii="Times New Roman" w:hAnsi="Times New Roman" w:eastAsia="신명조"/>
          <w:b w:val="0"/>
          <w:i w:val="0"/>
          <w:sz w:val="18"/>
        </w:rPr>
        <w:t>비교하는 모든 모형에 동일한 규칙을 적용한다. 예측 구간의 폭이 최근 분포의 일정 분위를 넘으면 기권한다.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look-ahead가 생기기 때문이고, 모의투자에서 실제로 쓰는 방식과도 같다.</w:t>
      </w:r>
    </w:p>
    <w:p>
      <w:pPr>
        <w:wordWrap w:val="0"/>
        <w:autoSpaceDE w:val="0"/>
        <w:autoSpaceDN w:val="0"/>
        <w:spacing w:after="80" w:before="0" w:line="341" w:lineRule="auto"/>
        <w:ind w:firstLine="180"/>
        <w:jc w:val="both"/>
      </w:pPr>
      <w:r>
        <w:rPr>
          <w:rFonts w:ascii="Times New Roman" w:hAnsi="Times New Roman" w:eastAsia="신명조"/>
          <w:b w:val="0"/>
          <w:i w:val="0"/>
          <w:sz w:val="18"/>
        </w:rPr>
        <w:t>임계값을 절대값으로 두었던 초기 설정은 학습이 2022년 하락장에서 끝난 탓에 구조적으로 도달 불가능해져 2.1년간 기권율이 95.8%에 달하였다. 최근 분포의 상대 순위로 전환한 것은 그 결함을 교정한 결과이다.</w:t>
      </w:r>
    </w:p>
    <w:p>
      <w:pPr>
        <w:wordWrap w:val="0"/>
        <w:autoSpaceDE w:val="0"/>
        <w:autoSpaceDN w:val="0"/>
        <w:spacing w:after="80" w:before="0" w:line="300" w:lineRule="auto"/>
      </w:pPr>
      <w:r>
        <w:rPr>
          <w:rFonts w:ascii="Times New Roman" w:hAnsi="Times New Roman" w:eastAsia="견고딕"/>
          <w:b/>
          <w:i w:val="0"/>
          <w:sz w:val="20"/>
        </w:rPr>
        <w:t>5. 실험 결과</w:t>
      </w:r>
    </w:p>
    <w:p>
      <w:pPr>
        <w:wordWrap w:val="0"/>
        <w:autoSpaceDE w:val="0"/>
        <w:autoSpaceDN w:val="0"/>
        <w:spacing w:after="60" w:before="0" w:line="300" w:lineRule="auto"/>
      </w:pPr>
      <w:r>
        <w:rPr>
          <w:rFonts w:ascii="Times New Roman" w:hAnsi="Times New Roman" w:eastAsia="중고딕"/>
          <w:b w:val="0"/>
          <w:i w:val="0"/>
          <w:sz w:val="18"/>
        </w:rPr>
        <w:t>5.1 동일조건 정확도 비교</w:t>
      </w:r>
    </w:p>
    <w:p>
      <w:pPr>
        <w:wordWrap w:val="0"/>
        <w:autoSpaceDE w:val="0"/>
        <w:autoSpaceDN w:val="0"/>
        <w:spacing w:after="80" w:before="0" w:line="341" w:lineRule="auto"/>
        <w:ind w:firstLine="180"/>
        <w:jc w:val="both"/>
      </w:pPr>
      <w:r>
        <w:rPr>
          <w:rFonts w:ascii="Times New Roman" w:hAnsi="Times New Roman" w:eastAsia="신명조"/>
          <w:b w:val="0"/>
          <w:i w:val="0"/>
          <w:sz w:val="18"/>
        </w:rPr>
        <w:t>세 모형은 자료·분할·학습절차·조기종료 규칙을 공유한다. 두 가지 제약을 먼저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 기준선은 세 모형 모두 0.012175로 동일하게 산출되어 통제가 작동하였음을 수치로 확인할 수 있다. TFT 원본과 제안 모형은 시드 42~46의 다섯 번씩을 같은 GPU·같은 혼합정밀도 설정으로 학습하여 검증·검정 두 구간의 평균과 표준편차를 보고한다. 분위 헤드만 부착한 PatchTST는 기준선 대비 격차가 +0.26%로 시드 변동의 범위를 크게 벗어나므로 단일 실행값을 보고한다. &lt;Table 4&gt;가 예측 정확도이다.</w:t>
      </w:r>
    </w:p>
    <w:p>
      <w:pPr>
        <w:wordWrap w:val="0"/>
        <w:autoSpaceDE w:val="0"/>
        <w:autoSpaceDN w:val="0"/>
        <w:spacing w:after="40" w:before="0" w:line="288" w:lineRule="auto"/>
      </w:pPr>
      <w:r>
        <w:rPr>
          <w:rFonts w:ascii="Times New Roman" w:hAnsi="Times New Roman" w:eastAsia="중고딕"/>
          <w:b w:val="0"/>
          <w:i w:val="0"/>
          <w:sz w:val="17"/>
        </w:rPr>
        <w:t>Table 4. Forecast accuracy (three-quantile pinball loss, mean over five seeds 42-46 with the standard deviation). TFT and the proposed model were trained on one GPU under identical mixed-precision settings. The unconditional-quantile baseline is 0.012175 on validation and 0.018753 on test. The PatchTST row is a single run on a Mac MPS backend and its test figure was not computed. The original point-forecast PatchTST is left out: scored as three identical quantiles it falls 47.79% below the baseline, which reflects the loss function rather than a comparison</w:t>
      </w:r>
    </w:p>
    <w:p>
      <w:pPr>
        <w:sectPr>
          <w:type w:val="continuous"/>
          <w:pgSz w:w="11906" w:h="16838"/>
          <w:pgMar w:top="1446" w:right="1134" w:bottom="879" w:left="1134" w:header="567" w:footer="567" w:gutter="0"/>
          <w:docGrid w:linePitch="360"/>
          <w:cols w:num="2" w:space="453" w:equalWidth="1"/>
        </w:sectPr>
      </w:pP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Validation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Best epoch</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0.035M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0.012143</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+0.26%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0.687M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0.011935 ± 0.000020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0.018325 ± 0.000091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+2.28%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 (PatchTST x TFT)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0.011889 ± 0.000012</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+2.35%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0.017826 ± 0.000059</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+4.95%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2-10</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결과는 세 가지로 해석된다. 첫째, 분위 헤드만 부착해서는 충분하지 않다. 해당 설정은 +0.26%로 상수 예측을 간신히 상회하는 데 그쳤으며 변수선택·정적 문맥·매크로 입력이 결여되어 있다.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둘째, 검증구간에서 TFT 원본과 제안 모형은 대등하다. 격차는 핀볼 손실 0.000046으로 기준선 대비 개선폭(0.000286)의 16%에 그친다. 다섯 시드에서 두 분포의 범위는 겹치지 않고, 시드를 짝지어 보아도 다섯 쌍 모두 제안 모형이 낮았다(부호검정 </w:t>
      </w:r>
      <w:r>
        <w:rPr>
          <w:rFonts w:ascii="Times New Roman" w:hAnsi="Times New Roman" w:eastAsia="신명조"/>
          <w:b w:val="0"/>
          <w:i/>
          <w:sz w:val="18"/>
        </w:rPr>
        <w:t>p</w:t>
      </w:r>
      <w:r>
        <w:rPr>
          <w:rFonts w:ascii="Times New Roman" w:hAnsi="Times New Roman" w:eastAsia="신명조"/>
          <w:b w:val="0"/>
          <w:i w:val="0"/>
          <w:sz w:val="18"/>
        </w:rPr>
        <w:t xml:space="preserve"> = 0.031 단측). 평균 차이에 대한 Welch 검정은 </w:t>
      </w:r>
      <w:r>
        <w:rPr>
          <w:rFonts w:ascii="Times New Roman" w:hAnsi="Times New Roman" w:eastAsia="신명조"/>
          <w:b w:val="0"/>
          <w:i/>
          <w:sz w:val="18"/>
        </w:rPr>
        <w:t>t</w:t>
      </w:r>
      <w:r>
        <w:rPr>
          <w:rFonts w:ascii="Times New Roman" w:hAnsi="Times New Roman" w:eastAsia="신명조"/>
          <w:b w:val="0"/>
          <w:i w:val="0"/>
          <w:sz w:val="18"/>
        </w:rPr>
        <w:t xml:space="preserve"> = 4.47(자유도 6.5, </w:t>
      </w:r>
      <w:r>
        <w:rPr>
          <w:rFonts w:ascii="Times New Roman" w:hAnsi="Times New Roman" w:eastAsia="신명조"/>
          <w:b w:val="0"/>
          <w:i/>
          <w:sz w:val="18"/>
        </w:rPr>
        <w:t>p</w:t>
      </w:r>
      <w:r>
        <w:rPr>
          <w:rFonts w:ascii="Times New Roman" w:hAnsi="Times New Roman" w:eastAsia="신명조"/>
          <w:b w:val="0"/>
          <w:i w:val="0"/>
          <w:sz w:val="18"/>
        </w:rPr>
        <w:t xml:space="preserve"> = 0.004 양측)이다. 초기화 변동을 통제하면 제안 모형이 체계적으로 낮은 쪽에 있다는 뜻이나 격차의 절대 크기가 작으므로, 본 연구는 검증구간의 결과를 우위가 아니라 대등하거나 근소하게 낫다는 수준으로 해석한다.</w:t>
      </w:r>
    </w:p>
    <w:p>
      <w:pPr>
        <w:wordWrap w:val="0"/>
        <w:autoSpaceDE w:val="0"/>
        <w:autoSpaceDN w:val="0"/>
        <w:spacing w:after="80" w:before="0" w:line="341" w:lineRule="auto"/>
        <w:ind w:firstLine="180"/>
        <w:jc w:val="both"/>
      </w:pPr>
      <w:r>
        <w:rPr>
          <w:rFonts w:ascii="Times New Roman" w:hAnsi="Times New Roman" w:eastAsia="신명조"/>
          <w:b w:val="0"/>
          <w:i w:val="0"/>
          <w:sz w:val="18"/>
        </w:rPr>
        <w:t>셋째, 검정구간에서는 격차가 분명해진다. 검증구간은 조기종료와 최적 회차 선택에 이미 쓰였으므로 세 모형 모두 낙관적으로 나오는데, 그 선택에 쓰이지 않은 검정구간에서 기준선 대비 개선폭이 제안 모형 +4.95%, TFT 원본 +2.28%로 2.2배 벌어진다. 두 모형의 격차는 핀볼 손실 0.000499로 제안 모형 개선폭(0.000927)의 54%이며, 다섯 시드의 범위도 겹치지 않는다(0.017739~0.017895 대 0.018205~0.018407). 시드를 짝지은 부호검정은 다섯 쌍 모두 제안 모형이 낮고(</w:t>
      </w:r>
      <w:r>
        <w:rPr>
          <w:rFonts w:ascii="Times New Roman" w:hAnsi="Times New Roman" w:eastAsia="신명조"/>
          <w:b w:val="0"/>
          <w:i/>
          <w:sz w:val="18"/>
        </w:rPr>
        <w:t>p</w:t>
      </w:r>
      <w:r>
        <w:rPr>
          <w:rFonts w:ascii="Times New Roman" w:hAnsi="Times New Roman" w:eastAsia="신명조"/>
          <w:b w:val="0"/>
          <w:i w:val="0"/>
          <w:sz w:val="18"/>
        </w:rPr>
        <w:t xml:space="preserve"> = 0.031 단측), Welch 검정은 </w:t>
      </w:r>
      <w:r>
        <w:rPr>
          <w:rFonts w:ascii="Times New Roman" w:hAnsi="Times New Roman" w:eastAsia="신명조"/>
          <w:b w:val="0"/>
          <w:i/>
          <w:sz w:val="18"/>
        </w:rPr>
        <w:t>t</w:t>
      </w:r>
      <w:r>
        <w:rPr>
          <w:rFonts w:ascii="Times New Roman" w:hAnsi="Times New Roman" w:eastAsia="신명조"/>
          <w:b w:val="0"/>
          <w:i w:val="0"/>
          <w:sz w:val="18"/>
        </w:rPr>
        <w:t xml:space="preserve"> = 10.33(자유도 6.9, </w:t>
      </w:r>
      <w:r>
        <w:rPr>
          <w:rFonts w:ascii="Times New Roman" w:hAnsi="Times New Roman" w:eastAsia="신명조"/>
          <w:b w:val="0"/>
          <w:i/>
          <w:sz w:val="18"/>
        </w:rPr>
        <w:t>p</w:t>
      </w:r>
      <w:r>
        <w:rPr>
          <w:rFonts w:ascii="Times New Roman" w:hAnsi="Times New Roman" w:eastAsia="신명조"/>
          <w:b w:val="0"/>
          <w:i w:val="0"/>
          <w:sz w:val="18"/>
        </w:rPr>
        <w:t xml:space="preserve"> &lt; 0.001 양측)이다.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같은 표본 위의 날짜별 손실 계열에 Diebold-Mariano 검정을 적용한 결과도 같은 방향이다. 검정구간에서는 다섯 시드 모두 유의하였다(Harvey-Leybourne-Newbold 보정 후 </w:t>
      </w:r>
      <w:r>
        <w:rPr>
          <w:rFonts w:ascii="Times New Roman" w:hAnsi="Times New Roman" w:eastAsia="신명조"/>
          <w:b w:val="0"/>
          <w:i/>
          <w:sz w:val="18"/>
        </w:rPr>
        <w:t>p</w:t>
      </w:r>
      <w:r>
        <w:rPr>
          <w:rFonts w:ascii="Times New Roman" w:hAnsi="Times New Roman" w:eastAsia="신명조"/>
          <w:b w:val="0"/>
          <w:i w:val="0"/>
          <w:sz w:val="18"/>
        </w:rPr>
        <w:t xml:space="preserve"> = 0.022, 0.001, 0.009, 0.003, 0.000. 550일, Newey-West 4시차). 반면 검증구간에서는 다섯 시드 모두 유의하지 않았다(</w:t>
      </w:r>
      <w:r>
        <w:rPr>
          <w:rFonts w:ascii="Times New Roman" w:hAnsi="Times New Roman" w:eastAsia="신명조"/>
          <w:b w:val="0"/>
          <w:i/>
          <w:sz w:val="18"/>
        </w:rPr>
        <w:t>p</w:t>
      </w:r>
      <w:r>
        <w:rPr>
          <w:rFonts w:ascii="Times New Roman" w:hAnsi="Times New Roman" w:eastAsia="신명조"/>
          <w:b w:val="0"/>
          <w:i w:val="0"/>
          <w:sz w:val="18"/>
        </w:rPr>
        <w:t xml:space="preserve"> = 0.16~0.56). DM 검정은 날짜를 표본으로 보므로 122거래일인 검증구간에서는 검정력이 약하고, 550거래일인 검정구간에서는 격차를 가려낸다. 시드 단위 검정과 날짜 단위 검정이 검정구간에서 함께 유의하다는 점이 이 비교의 근거다.</w:t>
      </w:r>
    </w:p>
    <w:p>
      <w:pPr>
        <w:wordWrap w:val="0"/>
        <w:autoSpaceDE w:val="0"/>
        <w:autoSpaceDN w:val="0"/>
        <w:spacing w:after="80" w:before="0" w:line="341" w:lineRule="auto"/>
        <w:ind w:firstLine="180"/>
        <w:jc w:val="both"/>
      </w:pPr>
      <w:r>
        <w:rPr>
          <w:rFonts w:ascii="Times New Roman" w:hAnsi="Times New Roman" w:eastAsia="신명조"/>
          <w:b w:val="0"/>
          <w:i w:val="0"/>
          <w:sz w:val="18"/>
        </w:rPr>
        <w:t>격차가 검정구간에서 벌어지는 이유는 학습 곡선에 있다. TFT는 다섯 시드 모두 1~2회차에서 최적값에 도달한 뒤 과적합으로 돌아섰고, 제안 모형의 최적 회차는 2~10회차에 분포하였다. 다만 초매개변수가 제안 모형에 맞추어 조정된 값이므로 이 격차의 일부는 대조군의 설정에서 올 수 있다(6장). 비교의 실질은 &lt;Table 5&gt;의 비용으로 넘어간다.</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5.2 계산 비용</w:t>
      </w:r>
    </w:p>
    <w:p>
      <w:pPr>
        <w:wordWrap w:val="0"/>
        <w:autoSpaceDE w:val="0"/>
        <w:autoSpaceDN w:val="0"/>
        <w:spacing w:after="40" w:before="0" w:line="288" w:lineRule="auto"/>
      </w:pPr>
      <w:r>
        <w:rPr>
          <w:rFonts w:ascii="Times New Roman" w:hAnsi="Times New Roman" w:eastAsia="중고딕"/>
          <w:b w:val="0"/>
          <w:i w:val="0"/>
          <w:sz w:val="17"/>
        </w:rPr>
        <w:t>Table 5. Computational cost measured on one device (Mac MPS, batch 64, 120-day input, 201 stocks). Seconds per epoch is the median training-step time over 40 batches times the 4,068 batches that one epoch takes over the 260,339 training windows of Section 4.3. The universe pass is the median of 21 forward passes over 201 stocks, and latency per stock is that value divided by 201 rather than an independent measurement. Activation is the device allocation added by a forward pass that retains the backward graph. Two independent runs agreed within 0.8%</w:t>
      </w:r>
    </w:p>
    <w:p>
      <w:pPr>
        <w:sectPr>
          <w:type w:val="continuous"/>
          <w:pgSz w:w="11906" w:h="16838"/>
          <w:pgMar w:top="1446" w:right="1134" w:bottom="879" w:left="1134" w:header="567" w:footer="567" w:gutter="0"/>
          <w:docGrid w:linePitch="360"/>
          <w:cols w:num="2" w:space="453" w:equalWidth="1"/>
        </w:sectPr>
      </w:pP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s / epoch</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Latency / stock</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Universe pass</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Activation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 memory</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108.9</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0.092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18.6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172.8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0.14 MB</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542.0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0.693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139.4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679.1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2.75 MB</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141.3</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0.143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28.7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132.9 MB</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2.00 MB</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대등한 정확도에서 제안 모형은 TFT 원본 대비 학습 3.8배, 종목당 추론 4.8배, 활성값 메모리 5.1배의 절감을 보였다. 패치 토큰화가 어텐션 대상 시퀀스를 120에서 24로 5배 줄이고 변수선택망의 선행 배치가 채널 반복을 제거한 결과이며, 모수 1.4배 차이는 부차적이다. 실질적 절감은 활성값과 실제 수행 시간에서 발생한다. 표의 세 행은 같은 장비·같은 배치에서 다시 측정한 값이다. 제안 모형은 외부 GPU에서 29.3초/epoch로도 학습되었다.</w:t>
      </w:r>
    </w:p>
    <w:p>
      <w:pPr>
        <w:wordWrap w:val="0"/>
        <w:autoSpaceDE w:val="0"/>
        <w:autoSpaceDN w:val="0"/>
        <w:spacing w:after="80" w:before="0" w:line="341" w:lineRule="auto"/>
        <w:ind w:firstLine="180"/>
        <w:jc w:val="both"/>
      </w:pPr>
      <w:r>
        <w:rPr>
          <w:rFonts w:ascii="Times New Roman" w:hAnsi="Times New Roman" w:eastAsia="신명조"/>
          <w:b w:val="0"/>
          <w:i w:val="0"/>
          <w:sz w:val="18"/>
        </w:rPr>
        <w:t>(Fig. 2)는 &lt;Table 4&gt;의 검증구간 정확도와 &lt;Table 5&gt;의 비용을 한 평면에 놓은 것이다. 지연시간만 보면 분위 헤드 모형이 더 왼쪽에 있으나, 정확도와 비용을 함께 보면 제안 모형이 파레토 전선 위에 있다.</w:t>
      </w:r>
    </w:p>
    <w:p>
      <w:pPr>
        <w:spacing w:after="40"/>
        <w:jc w:val="center"/>
      </w:pPr>
      <w:r>
        <w:drawing>
          <wp:inline xmlns:a="http://schemas.openxmlformats.org/drawingml/2006/main" xmlns:pic="http://schemas.openxmlformats.org/drawingml/2006/picture">
            <wp:extent cx="2916000" cy="2232562"/>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32562"/>
                    </a:xfrm>
                    <a:prstGeom prst="rect"/>
                  </pic:spPr>
                </pic:pic>
              </a:graphicData>
            </a:graphic>
          </wp:inline>
        </w:drawing>
      </w:r>
    </w:p>
    <w:p>
      <w:pPr>
        <w:wordWrap w:val="0"/>
        <w:autoSpaceDE w:val="0"/>
        <w:autoSpaceDN w:val="0"/>
        <w:spacing w:after="160" w:before="0" w:line="288" w:lineRule="auto"/>
        <w:jc w:val="left"/>
      </w:pPr>
      <w:r>
        <w:rPr>
          <w:rFonts w:ascii="Times New Roman" w:hAnsi="Times New Roman" w:eastAsia="중고딕"/>
          <w:b w:val="0"/>
          <w:i w:val="0"/>
          <w:sz w:val="17"/>
        </w:rPr>
        <w:t>Fig. 2. Forecast accuracy against inference cost. The vertical axis is the pinball improvement over the unconditional-quantile baseline on validation (&lt;Table 4&gt;), the horizontal axis is per-stock inference latency, and the marker area is activation memory for a 120-day input (&lt;Table 5&gt;). The original point-forecast PatchTST is omitted because its pinball loss falls far below the plotted range.</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5.3 기권 행태</w:t>
      </w:r>
    </w:p>
    <w:p>
      <w:pPr>
        <w:wordWrap w:val="0"/>
        <w:autoSpaceDE w:val="0"/>
        <w:autoSpaceDN w:val="0"/>
        <w:spacing w:after="80" w:before="0" w:line="341" w:lineRule="auto"/>
        <w:ind w:firstLine="180"/>
        <w:jc w:val="both"/>
      </w:pPr>
      <w:r>
        <w:rPr>
          <w:rFonts w:ascii="Times New Roman" w:hAnsi="Times New Roman" w:eastAsia="신명조"/>
          <w:b w:val="0"/>
          <w:i w:val="0"/>
          <w:sz w:val="18"/>
        </w:rPr>
        <w:t>세 분위 모형에 4.4절의 동일한 기권 규칙을 적용하고 검정구간 전체에서 집계하였다. 점 예측 모형은 임계할 폭이 없어 기권이 정의되지 않으므로 제외하였다. 자료 수집이 이어져 4.3절의 검정표본에 2거래일이 더해진 550거래일·106,490 윈도우가 집계 대상이다. 기권이 어디서 일어나는가와 보류된 판단이 실제로 더 나빴는가를 함께 본다.</w:t>
      </w:r>
    </w:p>
    <w:p>
      <w:pPr>
        <w:wordWrap w:val="0"/>
        <w:autoSpaceDE w:val="0"/>
        <w:autoSpaceDN w:val="0"/>
        <w:spacing w:after="40" w:before="0" w:line="288" w:lineRule="auto"/>
      </w:pPr>
      <w:r>
        <w:rPr>
          <w:rFonts w:ascii="Times New Roman" w:hAnsi="Times New Roman" w:eastAsia="중고딕"/>
          <w:b w:val="0"/>
          <w:i w:val="0"/>
          <w:sz w:val="17"/>
        </w:rPr>
        <w:t>Table 6. Abstention on the test split (550 days, 106,490 windows). The threshold is the 95th percentile of the width distribution over the trailing 90 calendar days, pooled across all stocks; Q1 and Q4 are the lowest and highest quartiles of realized volatility at decision time. Pinball loss is reported separately for abstained and retained candidates. The abstention figures in this table, and the interval figures in Section 5.4, come from one checkpoint per model: the two baselines were trained on a Mac MPS backend and the proposed model on an external GPU, so the devices are mixed here and differ from those behind &lt;Table 4&gt;</w:t>
      </w:r>
    </w:p>
    <w:p>
      <w:pPr>
        <w:sectPr>
          <w:type w:val="continuous"/>
          <w:pgSz w:w="11906" w:h="16838"/>
          <w:pgMar w:top="1446" w:right="1134" w:bottom="879" w:left="1134" w:header="567" w:footer="567" w:gutter="0"/>
          <w:docGrid w:linePitch="360"/>
          <w:cols w:num="2" w:space="453" w:equalWidth="1"/>
        </w:sectPr>
      </w:pP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Abstain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Q1</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abstained</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retained</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4.70%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0.40%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12.91%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0.02387</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0.01806</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5.33%</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17.32%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0.02617</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0.01768</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5.99%</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0.20%</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20.57%</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0.02646</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0.01726</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&lt;Table 6&gt;은 기권 요구사항이 규칙이 아니라 구조에 의해 충족되었음을 보여준다. 세 행의 기권 규칙은 동일하며 예측 분포만 다르다. 분위 헤드를 부착하면 기권이 작동하기 시작하고, 변수선택·정적 문맥·매크로 입력이 더해지면 최상위 변동성 분위의 기권율이 20.57%인 반면 최하위 분위는 0.20%에 머물러 기권이 고변동 구간에 집중된다.</w:t>
      </w:r>
    </w:p>
    <w:p>
      <w:pPr>
        <w:wordWrap w:val="0"/>
        <w:autoSpaceDE w:val="0"/>
        <w:autoSpaceDN w:val="0"/>
        <w:spacing w:after="80" w:before="0" w:line="341" w:lineRule="auto"/>
        <w:ind w:firstLine="180"/>
        <w:jc w:val="both"/>
      </w:pPr>
      <w:r>
        <w:rPr>
          <w:rFonts w:ascii="Times New Roman" w:hAnsi="Times New Roman" w:eastAsia="신명조"/>
          <w:b w:val="0"/>
          <w:i w:val="0"/>
          <w:sz w:val="18"/>
        </w:rPr>
        <w:t>보류된 판단이 실제로 더 나빴는지는 따로 재야 한다. 제안 모형이 기권한 6,381건의 핀볼 손실은 0.02646으로 남긴 100,109건의 0.01726보다 1.53배 크다. 날짜 단위로 짝지은 손실차는 +0.00804(</w:t>
      </w:r>
      <w:r>
        <w:rPr>
          <w:rFonts w:ascii="Times New Roman" w:hAnsi="Times New Roman" w:eastAsia="신명조"/>
          <w:b w:val="0"/>
          <w:i/>
          <w:sz w:val="18"/>
        </w:rPr>
        <w:t>t</w:t>
      </w:r>
      <w:r>
        <w:rPr>
          <w:rFonts w:ascii="Times New Roman" w:hAnsi="Times New Roman" w:eastAsia="신명조"/>
          <w:b w:val="0"/>
          <w:i w:val="0"/>
          <w:sz w:val="18"/>
        </w:rPr>
        <w:t xml:space="preserve"> = 19.74, 550일)이며, 분위 헤드만 부착한 모형과 TFT 원본에서도 같은 방향이다(</w:t>
      </w:r>
      <w:r>
        <w:rPr>
          <w:rFonts w:ascii="Times New Roman" w:hAnsi="Times New Roman" w:eastAsia="신명조"/>
          <w:b w:val="0"/>
          <w:i/>
          <w:sz w:val="18"/>
        </w:rPr>
        <w:t>t</w:t>
      </w:r>
      <w:r>
        <w:rPr>
          <w:rFonts w:ascii="Times New Roman" w:hAnsi="Times New Roman" w:eastAsia="신명조"/>
          <w:b w:val="0"/>
          <w:i w:val="0"/>
          <w:sz w:val="18"/>
        </w:rPr>
        <w:t xml:space="preserve"> = 13.44, 18.61). 반면 중앙값 부호의 방향 적중률은 기권 0.553 대 유지 0.548로 거의 같다. 보류된 판단은 방향을 틀리기 쉬운 판단이 아니라 오차의 크기가 큰 판단이며, 이는 기권이 폭에 걸려 있다는 설계와 일치한다.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다만 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대조하였다. 통제군의 비는 1.343(기권율 5.66%)으로 제안 모형의 1.533(5.99%)보다 낮고, 남긴 후보의 손실도 0.01747로 제안 모형의 0.01726보다 높다. TFT 원본도 1.480으로 자기 통제군(1.358)을 상회하였으나, 분위 헤드만 부착한 모형은 1.322로 통제군(1.366)에 미치지 못하였다. 통제군의 값이 1.343과 1.366으로 다른 것은 통제군을 모형마다 따로 맞춘 탓이 아니다. 실현변동성 점수는 모형과 무관하여 통제군의 기권율이 세 모형 모두 5.66%로 같고, 보류된 후보의 손실만 각 모형의 예측으로 재기 때문이다.</w:t>
      </w:r>
    </w:p>
    <w:p>
      <w:pPr>
        <w:wordWrap w:val="0"/>
        <w:autoSpaceDE w:val="0"/>
        <w:autoSpaceDN w:val="0"/>
        <w:spacing w:after="80" w:before="0" w:line="341" w:lineRule="auto"/>
        <w:ind w:firstLine="180"/>
        <w:jc w:val="both"/>
      </w:pPr>
      <w:r>
        <w:rPr>
          <w:rFonts w:ascii="Times New Roman" w:hAnsi="Times New Roman" w:eastAsia="신명조"/>
          <w:b w:val="0"/>
          <w:i w:val="0"/>
          <w:sz w:val="18"/>
        </w:rPr>
        <w:t>기권율 자체가 다르면 보류 집단이 분포의 꼬리로 더 들어간 효과가 섞인다. 제안 모형은 5.99%, 통제군은 5.66%였으므로 기권율을 맞춘 비교를 따로 수행하였다. 이 비교에는 4.4절의 운용 규칙이 아니라 비교를 위해 별도로 정의한 규칙을 쓴다. 날짜마다 두 점수의 날짜별 횡단면 순위 상위 r%를 보류시키면 같은 날 같은 개수를 보류하게 되어 기권율이 일치한다. 보류와 유지의 핀볼 비는 r = 2, 5, 6, 10, 20, 30%에서 각각 1.574 대 1.485, 1.484 대 1.395, 1.475 대 1.368, 1.401 대 1.307, 1.333 대 1.258, 1.278 대 1.216이었다. 여섯 수준 전부에서 폭 기준이 높았고, 날짜 블록 부트스트랩 1,000회의 95% 신뢰구간도 여섯 수준 모두 0을 포함하지 않았다 (6%에서 차이 +0.107, 구간 [+0.079, +0.138]). TFT 원본은 5% 이상에서 같은 방향이나 2%에서는 구간이 0을 포함하였고, 분위 헤드만 부착한 모형은 여섯 수준 전부에서 통제군보다 낮았다. 기권율을 맞춘 뒤에도 제안 모형의 폭은 단순 변동성 지표보다 나은 보류 기준이며, 그 이점은 분위 헤드를 부착하는 것만으로는 생기지 않았다.</w:t>
      </w:r>
    </w:p>
    <w:p>
      <w:pPr>
        <w:wordWrap w:val="0"/>
        <w:autoSpaceDE w:val="0"/>
        <w:autoSpaceDN w:val="0"/>
        <w:spacing w:after="80" w:before="0" w:line="341" w:lineRule="auto"/>
        <w:ind w:firstLine="180"/>
        <w:jc w:val="both"/>
      </w:pPr>
      <w:r>
        <w:rPr>
          <w:rFonts w:ascii="Times New Roman" w:hAnsi="Times New Roman" w:eastAsia="신명조"/>
          <w:b w:val="0"/>
          <w:i w:val="0"/>
          <w:sz w:val="18"/>
        </w:rPr>
        <w:t>전체 기권율의 수준을 정하는 임계값 분위는 검정구간을 참조하여 선택되었으므로, 5.99%라는 절대 수준은 표본 밖 수치가 아니다. 다만 분위를 95에서 90, 75로 낮추면 제안 모형의 전체 기권율이 5.99%, 11.61%, 28.17%로 오르는 동안 최상위 변동성 분위의 기권율도 20.57%, 36.42%, 69.36%로 함께 올라 분위별 집중이 유지되며, 세 분위 모두에서 최상위 분위 기권율의 모형 간 순서(제안 모형 &gt; TFT 원본 &gt; 분위 헤드)도 보존된다. 임계값 선택이 기권 행태에 관한 결론을 만들어낸 것은 아니다.</w:t>
      </w:r>
    </w:p>
    <w:p>
      <w:pPr>
        <w:wordWrap w:val="0"/>
        <w:autoSpaceDE w:val="0"/>
        <w:autoSpaceDN w:val="0"/>
        <w:spacing w:after="80" w:before="0" w:line="341" w:lineRule="auto"/>
        <w:ind w:firstLine="180"/>
        <w:jc w:val="both"/>
      </w:pPr>
      <w:r>
        <w:rPr>
          <w:rFonts w:ascii="Times New Roman" w:hAnsi="Times New Roman" w:eastAsia="신명조"/>
          <w:b w:val="0"/>
          <w:i w:val="0"/>
          <w:sz w:val="18"/>
        </w:rPr>
        <w:t>기권 임계값의 변화도 같은 방향을 가리킨다. 검정구간의 마지막 12개월(244거래일)에서 제안 모형의 임계값은 0.189에서 0.329로 74% 상승한 반면 TFT 원본은 0.175→0.187로 7% 오르는 데 그쳤고, 분위 헤드만 부착한 모형은 0.189→0.166으로 오히려 내렸다. 임계값이 직전 90일 폭 분포의 분위이므로 이는 제안 모형의 폭이 시장 변동성 변화에 더 크게 반응한다는 뜻이다. 같은 12개월 구간의 평균 폭 자체도 제안 모형이 0.1615로 TFT(0.1298)와 분위 헤드 모형(0.1274)보다 넓다(5.4절의 0.1410은 검정구간 전체 값이다). 변동성이 오른 구간에서 폭이 함께 넓어져 기권이 늘어난 결과가 &lt;Table 6&gt;의 Q4 기권율이다. 폭의 반응성 자체를 직접 비교한 실험은 수행하지 않았다.</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5.4 예측구간의 교정과 폭 예측</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7&gt;은 예측구간의 교정 상태와 폭 예측력을 검정구간 106,094 윈도우에서 측정한 결과이다. 폭 정보계수는 예측 구간의 폭 q90 − q10 과 앞으로 5일 실현 초과수익의 절댓값 사이의 상관이다. 뒤의 단순 기준 대조도 같은 목표를 쓰고 점수만 바꾼 것이다.</w:t>
      </w:r>
    </w:p>
    <w:p>
      <w:pPr>
        <w:wordWrap w:val="0"/>
        <w:autoSpaceDE w:val="0"/>
        <w:autoSpaceDN w:val="0"/>
        <w:spacing w:after="40" w:before="0" w:line="288" w:lineRule="auto"/>
      </w:pPr>
      <w:r>
        <w:rPr>
          <w:rFonts w:ascii="Times New Roman" w:hAnsi="Times New Roman" w:eastAsia="중고딕"/>
          <w:b w:val="0"/>
          <w:i w:val="0"/>
          <w:sz w:val="17"/>
        </w:rPr>
        <w:t>Table 7. Interval calibration and width predictive power (23,086 validation and 106,094 test windows)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Measure</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Validation</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Interval coverage (nominal 80%)</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77.5%</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71.4%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Coverage after conformal correction (+0.034)</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74.2%</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Width IC (interval against absolute realized 5-day excess return)</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0.2710 (</w:t>
            </w:r>
            <w:r>
              <w:rPr>
                <w:rFonts w:ascii="Times New Roman" w:hAnsi="Times New Roman" w:eastAsia="신명조"/>
                <w:b w:val="0"/>
                <w:i/>
                <w:sz w:val="16"/>
              </w:rPr>
              <w:t>t</w:t>
            </w:r>
            <w:r>
              <w:rPr>
                <w:rFonts w:ascii="Times New Roman" w:hAnsi="Times New Roman" w:eastAsia="신명조"/>
                <w:b w:val="0"/>
                <w:i w:val="0"/>
                <w:sz w:val="16"/>
              </w:rPr>
              <w:t xml:space="preserve"> = 30.19)</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0.1767 (</w:t>
            </w:r>
            <w:r>
              <w:rPr>
                <w:rFonts w:ascii="Times New Roman" w:hAnsi="Times New Roman" w:eastAsia="신명조"/>
                <w:b/>
                <w:i/>
                <w:sz w:val="16"/>
              </w:rPr>
              <w:t>t</w:t>
            </w:r>
            <w:r>
              <w:rPr>
                <w:rFonts w:ascii="Times New Roman" w:hAnsi="Times New Roman" w:eastAsia="신명조"/>
                <w:b/>
                <w:i w:val="0"/>
                <w:sz w:val="16"/>
              </w:rPr>
              <w:t xml:space="preserve"> = 20.27)</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폭 정보계수는 날짜별 횡단면 상관을 먼저 구한 뒤 그 시계열 평균으로 정의하며, </w:t>
      </w:r>
      <w:r>
        <w:rPr>
          <w:rFonts w:ascii="Times New Roman" w:hAnsi="Times New Roman" w:eastAsia="신명조"/>
          <w:b w:val="0"/>
          <w:i/>
          <w:sz w:val="18"/>
        </w:rPr>
        <w:t>t</w:t>
      </w:r>
      <w:r>
        <w:rPr>
          <w:rFonts w:ascii="Times New Roman" w:hAnsi="Times New Roman" w:eastAsia="신명조"/>
          <w:b w:val="0"/>
          <w:i w:val="0"/>
          <w:sz w:val="18"/>
        </w:rPr>
        <w:t xml:space="preserve"> 값은 일별 계열의 표준오차에서 계산하였다. 목표가 5일 겹쳐 일별 계열에 자기상관이 남아 있는데 Newey-West 보정은 적용하지 않았으므로 </w:t>
      </w:r>
      <w:r>
        <w:rPr>
          <w:rFonts w:ascii="Times New Roman" w:hAnsi="Times New Roman" w:eastAsia="신명조"/>
          <w:b w:val="0"/>
          <w:i/>
          <w:sz w:val="18"/>
        </w:rPr>
        <w:t>t</w:t>
      </w:r>
      <w:r>
        <w:rPr>
          <w:rFonts w:ascii="Times New Roman" w:hAnsi="Times New Roman" w:eastAsia="신명조"/>
          <w:b w:val="0"/>
          <w:i w:val="0"/>
          <w:sz w:val="18"/>
        </w:rPr>
        <w:t xml:space="preserve"> 값은 다소 낙관적이다.</w:t>
      </w:r>
    </w:p>
    <w:p>
      <w:pPr>
        <w:wordWrap w:val="0"/>
        <w:autoSpaceDE w:val="0"/>
        <w:autoSpaceDN w:val="0"/>
        <w:spacing w:after="80" w:before="0" w:line="341" w:lineRule="auto"/>
        <w:ind w:firstLine="180"/>
        <w:jc w:val="both"/>
      </w:pPr>
      <w:r>
        <w:rPr>
          <w:rFonts w:ascii="Times New Roman" w:hAnsi="Times New Roman" w:eastAsia="신명조"/>
          <w:b w:val="0"/>
          <w:i w:val="0"/>
          <w:sz w:val="18"/>
        </w:rPr>
        <w:t>변동성은 군집성 때문에 그 자체로 예측하기 쉬우므로 폭 정보계수의 절대 크기만으로는 모형의 기여를 가릴 수 없다. 단순 기준과 나란히 두면 가릴 수 있다. 5.3절과 같은 실행에서 직전 20일 실현변동성을 점수로 쓰는 기준의 정보계수는 +0.1450(</w:t>
      </w:r>
      <w:r>
        <w:rPr>
          <w:rFonts w:ascii="Times New Roman" w:hAnsi="Times New Roman" w:eastAsia="신명조"/>
          <w:b w:val="0"/>
          <w:i/>
          <w:sz w:val="18"/>
        </w:rPr>
        <w:t>t</w:t>
      </w:r>
      <w:r>
        <w:rPr>
          <w:rFonts w:ascii="Times New Roman" w:hAnsi="Times New Roman" w:eastAsia="신명조"/>
          <w:b w:val="0"/>
          <w:i w:val="0"/>
          <w:sz w:val="18"/>
        </w:rPr>
        <w:t xml:space="preserve"> = 17.08)이었다. 같은 실행에서 제안 모형의 폭은 +0.1737(</w:t>
      </w:r>
      <w:r>
        <w:rPr>
          <w:rFonts w:ascii="Times New Roman" w:hAnsi="Times New Roman" w:eastAsia="신명조"/>
          <w:b w:val="0"/>
          <w:i/>
          <w:sz w:val="18"/>
        </w:rPr>
        <w:t>t</w:t>
      </w:r>
      <w:r>
        <w:rPr>
          <w:rFonts w:ascii="Times New Roman" w:hAnsi="Times New Roman" w:eastAsia="신명조"/>
          <w:b w:val="0"/>
          <w:i w:val="0"/>
          <w:sz w:val="18"/>
        </w:rPr>
        <w:t xml:space="preserve"> = 19.45)로 이를 상회하였고, 분위 헤드만 부착한 모형은 +0.0962에 그쳐 단순 기준에 미치지 못하였으며, TFT 원본은 +0.1946(</w:t>
      </w:r>
      <w:r>
        <w:rPr>
          <w:rFonts w:ascii="Times New Roman" w:hAnsi="Times New Roman" w:eastAsia="신명조"/>
          <w:b w:val="0"/>
          <w:i/>
          <w:sz w:val="18"/>
        </w:rPr>
        <w:t>t</w:t>
      </w:r>
      <w:r>
        <w:rPr>
          <w:rFonts w:ascii="Times New Roman" w:hAnsi="Times New Roman" w:eastAsia="신명조"/>
          <w:b w:val="0"/>
          <w:i w:val="0"/>
          <w:sz w:val="18"/>
        </w:rPr>
        <w:t xml:space="preserve"> = 24.05)으로 제안 모형보다 높았다. 폭에 변동성 정보를 담는 능력은 분위 헤드만으로는 생기지 않았으며, 변수선택·정적 문맥·매크로 입력이 함께 더해진 구조에서 나타났다. 어느 구성요소의 기여인지는 제거 실험 없이 가릴 수 없다(6장). 제안 모형은 그 능력을 TFT를 넘어서지는 못한 채 약 4분의 1의 비용으로 유지한다. &lt;Table 7&gt;의 폭 정보계수(+0.1767)와 이 단락의 값(+0.1737)이 다른 것은 표본이 2거래일 차이 나기 때문이다.</w:t>
      </w:r>
    </w:p>
    <w:p>
      <w:pPr>
        <w:wordWrap w:val="0"/>
        <w:autoSpaceDE w:val="0"/>
        <w:autoSpaceDN w:val="0"/>
        <w:spacing w:after="80" w:before="0" w:line="341" w:lineRule="auto"/>
        <w:ind w:firstLine="180"/>
        <w:jc w:val="both"/>
      </w:pPr>
      <w:r>
        <w:rPr>
          <w:rFonts w:ascii="Times New Roman" w:hAnsi="Times New Roman" w:eastAsia="신명조"/>
          <w:b w:val="0"/>
          <w:i w:val="0"/>
          <w:sz w:val="18"/>
        </w:rPr>
        <w:t>구간의 절대 교정은 좋지 않다. 명목 80% 구간이 검정구간에서 실제로 포함한 비율은 71.4%이고, 검증구간에서 산출한 등각예측 보정계수 +0.034를 적용해도 74.2%에 그친다. 본 모형의 구간은 체계적으로 좁다.</w:t>
      </w:r>
    </w:p>
    <w:p>
      <w:pPr>
        <w:wordWrap w:val="0"/>
        <w:autoSpaceDE w:val="0"/>
        <w:autoSpaceDN w:val="0"/>
        <w:spacing w:after="80" w:before="0" w:line="341" w:lineRule="auto"/>
        <w:ind w:firstLine="180"/>
        <w:jc w:val="both"/>
      </w:pPr>
      <w:r>
        <w:rPr>
          <w:rFonts w:ascii="Times New Roman" w:hAnsi="Times New Roman" w:eastAsia="신명조"/>
          <w:b w:val="0"/>
          <w:i w:val="0"/>
          <w:sz w:val="18"/>
        </w:rPr>
        <w:t>원인은 구간 간 변동성 차이에 있다. 폭은 변동성에 반응하지만 검정구간의 변동성 상승폭을 다 따라가지 못한다. 검정구간의 실현 p10~p90 폭이 0.1641인 데 비해 평균 예측 폭은 0.1410에 그친다. 검증구간에서는 두 값이 0.1080과 0.1100으로 거의 일치하여 포함률이 77.5%로 명목에 근접한다. 다만 4.4절의 기권 규칙은 폭의 절대 수준이 아니라 최근 분포 안에서의 상대 순위에 걸려 있다. 보정이 모든 폭에 같은 상수를 더하는 연산이므로 순위는 구성상 바뀌지 않고, 기권 선택도 그대로다. 기권에는 영향이 없으나 구간을 신뢰구간으로 읽어서는 안 된다.</w:t>
      </w:r>
    </w:p>
    <w:p>
      <w:pPr>
        <w:wordWrap w:val="0"/>
        <w:autoSpaceDE w:val="0"/>
        <w:autoSpaceDN w:val="0"/>
        <w:spacing w:after="80" w:before="0" w:line="300" w:lineRule="auto"/>
      </w:pPr>
      <w:r>
        <w:rPr>
          <w:rFonts w:ascii="Times New Roman" w:hAnsi="Times New Roman" w:eastAsia="견고딕"/>
          <w:b/>
          <w:i w:val="0"/>
          <w:sz w:val="20"/>
        </w:rPr>
        <w:t>6. 결론 및 향후 연구</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기능과 변수선택망을 결합하였다. 변수선택망은 입력 채널을 인코더 앞에서 하나로 축약하여 인코더 실행 횟수를 1회로 줄이는 데 사용하였다. 예측 구간이 이례적으로 넓을 때 판단을 보류하는 기권 규칙도 함께 적용하였다. 코스피200 구성종목 201개의 일별 자료로 평가하여 다음 두 가지를 확인하였다.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첫째, 제안 모형은 다섯 번의 반복 실험 모두에서 TFT보다 오차가 작았고, 그 정확도를 약 4분의 1의 비용으로 달성하였다. 조기종료에 쓰인 검증구간에서는 격차가 개선폭의 16%로 작아 두 모형을 대등하다고 보았다. 그 선택에 쓰이지 않은 평가 구간에서는 기준선 대비 개선폭이 +4.95% 대 +2.28%로 2.2배 벌어졌고, 날짜 단위 DM 검정도 다섯 시드 모두 유의하였다. 학습 시간은 3.8배, 종목당 추론 시간은 4.8배 짧았고, 활성값 메모리는 5.1배 적었다. 둘째, 예측 구간이 시장 변동성에 반응하여 판단 보류가 변동성이 큰 시기에 집중되었다. 보류된 예측은 실행된 예측보다 오차가 약 1.5배 컸다. 기권율을 맞춘 비교에서도 최근 변동성만 보고 보류하는 단순 규칙보다 큰 오차를 더 잘 걸러냈다. 하나의 예측값만 내는 기존 패치 기반 모형으로는 이러한 판단 보류 자체를 할 수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연구에는 다음 한계가 있다.</w:t>
      </w:r>
    </w:p>
    <w:p>
      <w:pPr>
        <w:wordWrap w:val="0"/>
        <w:autoSpaceDE w:val="0"/>
        <w:autoSpaceDN w:val="0"/>
        <w:spacing w:after="80" w:before="0" w:line="341" w:lineRule="auto"/>
        <w:ind w:firstLine="180"/>
        <w:jc w:val="both"/>
      </w:pPr>
      <w:r>
        <w:rPr>
          <w:rFonts w:ascii="Times New Roman" w:hAnsi="Times New Roman" w:eastAsia="신명조"/>
          <w:b w:val="0"/>
          <w:i w:val="0"/>
          <w:sz w:val="18"/>
        </w:rPr>
        <w:t>- 평가 기간의 자료가 입력 변수 구성과 기권 기준 선택에 참고되었으므로, 보고 수치는 완전한 사후 검증 값이 아니다. 다만 기권 기준 분위를 95에서 90, 75로 바꾸어도 판단 보류가 고변동 구간에 집중되는 경향은 유지되었다. - 오르내림 방향을 맞히는 능력은 동일 조건의 그래디언트 부스팅 기준모형보다 낮았다. 기준모형은 LightGBM[19]의 방식을 따른 scikit-learn 구현이다. 공통 표본 101,745건에서 랭크 정보계수가 +0.0288 대 +0.0197이다. 제안 모형은 종목을 고르는 데보다 판단을 미룰 시점을 정하는 데 적합하다. - 변수선택망의 가중치는 비용 절감 장치로만 사용하였다. 별도 진단에서 그 중요도는 개별 변수의 단변량 예측력과 일치하지 않았고 연도 간 거의 변하지 않았으므로, 매매 근거로는 제시하지 않는다. - &lt;Table 6&gt;의 기권 지표와 폭 정보계수는 모형마다 체크포인트 하나씩으로 산출한 값이다. &lt;Table 4&gt;와 DM 검정은 두 모형을 같은 장비에서 다섯 시드씩 학습해 얻었으나, 기권·구간 지표는 시드 평균이 아니다. - 구성요소를 하나씩 제거하는 실험과 TFT의 크기를 맞춘 비교를 수행하지 않아 개선이 어느 부분에서 왔는지는 가리지 못하였다. 종목 채널의 변수선택망을 매크로 경로와 같은 선형 합치기로 바꾼 변형도 비교하지 않았으므로, 채널 축약에 게이트가 필요했는지는 열려 있다. - 유니버스를 현재 시점에서 추출하여 2015년 이후 상장폐지된 기업이 후보가 된 적이 없다. 시가총액 구간은 학습 종료 시점의 값으로 고정하였으므로 검증·검정 구간에는 사전 정보이고 학습 행에는 사후 값이다. - 평가 기간은 한 시장의 한 구간이며, 구간을 옮겨 가며 재학습하는 walk-forward 검증은 수행하지 않았다. 코스피200은 구간 전체로 +172.6%이나 2024년 하반기 −17.1%, 2026년 7월 고점 대비 −40.9% 하락을 포함한다. - 본 연구의 비교는 트랜스포머 계열 분위 모형 안으로 한정된다. - 입력이 모두 공개된 가격·거래량 지표여서, 같은 재료를 쓴 모형들이 같은 종목을 지목하기 쉽다. 이는 국내 선행 연구[20]에서도 지적된 제약이다.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논문의 결과는 과거 자료에 대한 평가이며 투자 권유를 의도하지 않는다.</w:t>
      </w:r>
    </w:p>
    <w:p>
      <w:pPr>
        <w:wordWrap w:val="0"/>
        <w:autoSpaceDE w:val="0"/>
        <w:autoSpaceDN w:val="0"/>
        <w:spacing w:after="80" w:before="0" w:line="341" w:lineRule="auto"/>
        <w:ind w:firstLine="180"/>
        <w:jc w:val="both"/>
      </w:pPr>
      <w:r>
        <w:rPr>
          <w:rFonts w:ascii="Times New Roman" w:hAnsi="Times New Roman" w:eastAsia="신명조"/>
          <w:b w:val="0"/>
          <w:i w:val="0"/>
          <w:sz w:val="18"/>
        </w:rPr>
        <w:t>향후 연구에서는 비교 이후 새로 쌓인 자료를 평가에 쓰지 않은 구간으로 두고, 여러 시장 국면에서 다시 검증한다.</w:t>
      </w:r>
    </w:p>
    <w:p>
      <w:pPr>
        <w:wordWrap w:val="0"/>
        <w:autoSpaceDE w:val="0"/>
        <w:autoSpaceDN w:val="0"/>
        <w:spacing w:after="80" w:before="0" w:line="300" w:lineRule="auto"/>
      </w:pPr>
      <w:r>
        <w:rPr>
          <w:rFonts w:ascii="Times New Roman" w:hAnsi="Times New Roman" w:eastAsia="견고딕"/>
          <w:b/>
          <w:i w:val="0"/>
          <w:sz w:val="20"/>
        </w:rPr>
        <w:t>References</w:t>
      </w:r>
    </w:p>
    <w:p>
      <w:pPr>
        <w:wordWrap w:val="0"/>
        <w:autoSpaceDE w:val="0"/>
        <w:autoSpaceDN w:val="0"/>
        <w:spacing w:after="40" w:before="0" w:line="300" w:lineRule="auto"/>
        <w:ind w:hanging="280" w:left="280"/>
      </w:pPr>
      <w:r>
        <w:rPr>
          <w:rFonts w:ascii="Times New Roman" w:hAnsi="Times New Roman" w:eastAsia="신명조"/>
          <w:b w:val="0"/>
          <w:i w:val="0"/>
          <w:sz w:val="17"/>
        </w:rPr>
        <w:t>[1] O. B. Sezer, M. U. Gudelek, and A. M. Ozbayoglu, "Financial time series forecasting with deep learning: A systematic literature review: 2005-2019," Applied Soft Computing, Vol.90, 106181, 2020.</w:t>
      </w:r>
    </w:p>
    <w:p>
      <w:pPr>
        <w:wordWrap w:val="0"/>
        <w:autoSpaceDE w:val="0"/>
        <w:autoSpaceDN w:val="0"/>
        <w:spacing w:after="40" w:before="0" w:line="300" w:lineRule="auto"/>
        <w:ind w:hanging="280" w:left="280"/>
      </w:pPr>
      <w:r>
        <w:rPr>
          <w:rFonts w:ascii="Times New Roman" w:hAnsi="Times New Roman" w:eastAsia="신명조"/>
          <w:b w:val="0"/>
          <w:i w:val="0"/>
          <w:sz w:val="17"/>
        </w:rPr>
        <w:t>[2] T. S. Kim and S. Lee, "Deep learning-based stock fluctuation prediction according to overseas indices and trading trends," KIPS Transactions on Software and Data Engineering, Vol.10, No.9, pp.367-374, 2021.</w:t>
      </w:r>
    </w:p>
    <w:p>
      <w:pPr>
        <w:wordWrap w:val="0"/>
        <w:autoSpaceDE w:val="0"/>
        <w:autoSpaceDN w:val="0"/>
        <w:spacing w:after="40" w:before="0" w:line="300" w:lineRule="auto"/>
        <w:ind w:hanging="280" w:left="280"/>
      </w:pPr>
      <w:r>
        <w:rPr>
          <w:rFonts w:ascii="Times New Roman" w:hAnsi="Times New Roman" w:eastAsia="신명조"/>
          <w:b w:val="0"/>
          <w:i w:val="0"/>
          <w:sz w:val="17"/>
        </w:rPr>
        <w:t>[3] A. Vaswani, N. Shazeer, N. Parmar, J. Uszkoreit, L. Jones, A. N. Gomez, L. Kaiser, and I. Polosukhin, "Attention is all you need," in Advances in Neural Information Processing Systems, 2017, pp.5998-6008.</w:t>
      </w:r>
    </w:p>
    <w:p>
      <w:pPr>
        <w:wordWrap w:val="0"/>
        <w:autoSpaceDE w:val="0"/>
        <w:autoSpaceDN w:val="0"/>
        <w:spacing w:after="40" w:before="0" w:line="300" w:lineRule="auto"/>
        <w:ind w:hanging="280" w:left="280"/>
      </w:pPr>
      <w:r>
        <w:rPr>
          <w:rFonts w:ascii="Times New Roman" w:hAnsi="Times New Roman" w:eastAsia="신명조"/>
          <w:b w:val="0"/>
          <w:i w:val="0"/>
          <w:sz w:val="17"/>
        </w:rPr>
        <w:t>[4] H. Zhou, S. Zhang, J. Peng, S. Zhang, J. Li, H. Xiong, and W. Zhang, "Informer: Beyond efficient transformer for long sequence time-series forecasting," in Proceedings of the AAAI Conference on Artificial Intelligence, 2021, pp.11106-11115.</w:t>
      </w:r>
    </w:p>
    <w:p>
      <w:pPr>
        <w:wordWrap w:val="0"/>
        <w:autoSpaceDE w:val="0"/>
        <w:autoSpaceDN w:val="0"/>
        <w:spacing w:after="40" w:before="0" w:line="300" w:lineRule="auto"/>
        <w:ind w:hanging="280" w:left="280"/>
      </w:pPr>
      <w:r>
        <w:rPr>
          <w:rFonts w:ascii="Times New Roman" w:hAnsi="Times New Roman" w:eastAsia="신명조"/>
          <w:b w:val="0"/>
          <w:i w:val="0"/>
          <w:sz w:val="17"/>
        </w:rPr>
        <w:t>[5] H. Wu, J. Xu, J. Wang, and M. Long, "Autoformer: Decomposition transformers with auto-correlation for long-term series forecasting," in Advances in Neural Information Processing Systems, 2021.</w:t>
      </w:r>
    </w:p>
    <w:p>
      <w:pPr>
        <w:wordWrap w:val="0"/>
        <w:autoSpaceDE w:val="0"/>
        <w:autoSpaceDN w:val="0"/>
        <w:spacing w:after="40" w:before="0" w:line="300" w:lineRule="auto"/>
        <w:ind w:hanging="280" w:left="280"/>
      </w:pPr>
      <w:r>
        <w:rPr>
          <w:rFonts w:ascii="Times New Roman" w:hAnsi="Times New Roman" w:eastAsia="신명조"/>
          <w:b w:val="0"/>
          <w:i w:val="0"/>
          <w:sz w:val="17"/>
        </w:rPr>
        <w:t>[6] A. Zeng, M. Chen, L. Zhang, and Q. Xu, "Are transformers effective for time series forecasting?," in Proceedings of the AAAI Conference on Artificial Intelligence, 2023, pp.11121-11128.</w:t>
      </w:r>
    </w:p>
    <w:p>
      <w:pPr>
        <w:wordWrap w:val="0"/>
        <w:autoSpaceDE w:val="0"/>
        <w:autoSpaceDN w:val="0"/>
        <w:spacing w:after="40" w:before="0" w:line="300" w:lineRule="auto"/>
        <w:ind w:hanging="280" w:left="280"/>
      </w:pPr>
      <w:r>
        <w:rPr>
          <w:rFonts w:ascii="Times New Roman" w:hAnsi="Times New Roman" w:eastAsia="신명조"/>
          <w:b w:val="0"/>
          <w:i w:val="0"/>
          <w:sz w:val="17"/>
        </w:rPr>
        <w:t>[7] Y. Nie, N. H. Nguyen, P. Sinthong, and J. Kalagnanam, "A time series is worth 64 words: Long-term forecasting with transformers," in Proceedings of the International Conference on Learning Representations, 2023.</w:t>
      </w:r>
    </w:p>
    <w:p>
      <w:pPr>
        <w:wordWrap w:val="0"/>
        <w:autoSpaceDE w:val="0"/>
        <w:autoSpaceDN w:val="0"/>
        <w:spacing w:after="40" w:before="0" w:line="300" w:lineRule="auto"/>
        <w:ind w:hanging="280" w:left="280"/>
      </w:pPr>
      <w:r>
        <w:rPr>
          <w:rFonts w:ascii="Times New Roman" w:hAnsi="Times New Roman" w:eastAsia="신명조"/>
          <w:b w:val="0"/>
          <w:i w:val="0"/>
          <w:sz w:val="17"/>
        </w:rPr>
        <w:t>[8] B. Lim, S. O. Arik, N. Loeff, and T. Pfister, "Temporal fusion transformers for interpretable multi-horizon time series forecasting," International Journal of Forecasting, Vol.37, No.4, pp.1748-1764, 2021.</w:t>
      </w:r>
    </w:p>
    <w:p>
      <w:pPr>
        <w:wordWrap w:val="0"/>
        <w:autoSpaceDE w:val="0"/>
        <w:autoSpaceDN w:val="0"/>
        <w:spacing w:after="40" w:before="0" w:line="300" w:lineRule="auto"/>
        <w:ind w:hanging="280" w:left="280"/>
      </w:pPr>
      <w:r>
        <w:rPr>
          <w:rFonts w:ascii="Times New Roman" w:hAnsi="Times New Roman" w:eastAsia="신명조"/>
          <w:b w:val="0"/>
          <w:i w:val="0"/>
          <w:sz w:val="17"/>
        </w:rPr>
        <w:t>[9] I. K. Kim, D. H. Kim, and J. Lee, "Temporal fusion transformers and deep learning methods for multi-horizon time series forecasting," KIPS Transactions on Software and Data Engineering, Vol.11, No.2, pp.81-86, 2022.</w:t>
      </w:r>
    </w:p>
    <w:p>
      <w:pPr>
        <w:wordWrap w:val="0"/>
        <w:autoSpaceDE w:val="0"/>
        <w:autoSpaceDN w:val="0"/>
        <w:spacing w:after="40" w:before="0" w:line="300" w:lineRule="auto"/>
        <w:ind w:hanging="280" w:left="280"/>
      </w:pPr>
      <w:r>
        <w:rPr>
          <w:rFonts w:ascii="Times New Roman" w:hAnsi="Times New Roman" w:eastAsia="신명조"/>
          <w:b w:val="0"/>
          <w:i w:val="0"/>
          <w:sz w:val="17"/>
        </w:rPr>
        <w:t>[10] D.-K. Kim and K. Kim, "Style-based transformer for time series forecasting," KIPS Transactions on Software and Data Engineering, Vol.10, No.12, pp.579-586, 2021.</w:t>
      </w:r>
    </w:p>
    <w:p>
      <w:pPr>
        <w:wordWrap w:val="0"/>
        <w:autoSpaceDE w:val="0"/>
        <w:autoSpaceDN w:val="0"/>
        <w:spacing w:after="40" w:before="0" w:line="300" w:lineRule="auto"/>
        <w:ind w:hanging="280" w:left="280"/>
      </w:pPr>
      <w:r>
        <w:rPr>
          <w:rFonts w:ascii="Times New Roman" w:hAnsi="Times New Roman" w:eastAsia="신명조"/>
          <w:b w:val="0"/>
          <w:i w:val="0"/>
          <w:sz w:val="17"/>
        </w:rPr>
        <w:t>[11] T. Kim, J. Kim, Y. Tae, C. Park, J.-H. Choi, and J. Choo, "Reversible instance normalization for accurate time-series forecasting against distribution shift," in Proceedings of the International Conference on Learning Representations, 2022.</w:t>
      </w:r>
    </w:p>
    <w:p>
      <w:pPr>
        <w:wordWrap w:val="0"/>
        <w:autoSpaceDE w:val="0"/>
        <w:autoSpaceDN w:val="0"/>
        <w:spacing w:after="40" w:before="0" w:line="300" w:lineRule="auto"/>
        <w:ind w:hanging="280" w:left="280"/>
      </w:pPr>
      <w:r>
        <w:rPr>
          <w:rFonts w:ascii="Times New Roman" w:hAnsi="Times New Roman" w:eastAsia="신명조"/>
          <w:b w:val="0"/>
          <w:i w:val="0"/>
          <w:sz w:val="17"/>
        </w:rPr>
        <w:t>[12] R. Koenker and G. Bassett, "Regression quantiles," Econometrica, Vol.46, No.1, pp.33-50, 1978.</w:t>
      </w:r>
    </w:p>
    <w:p>
      <w:pPr>
        <w:wordWrap w:val="0"/>
        <w:autoSpaceDE w:val="0"/>
        <w:autoSpaceDN w:val="0"/>
        <w:spacing w:after="40" w:before="0" w:line="300" w:lineRule="auto"/>
        <w:ind w:hanging="280" w:left="280"/>
      </w:pPr>
      <w:r>
        <w:rPr>
          <w:rFonts w:ascii="Times New Roman" w:hAnsi="Times New Roman" w:eastAsia="신명조"/>
          <w:b w:val="0"/>
          <w:i w:val="0"/>
          <w:sz w:val="17"/>
        </w:rPr>
        <w:t>[13] Y. Romano, E. Patterson, and E. J. Candes, "Conformalized quantile regression," in Advances in Neural Information Processing Systems, 2019.</w:t>
      </w:r>
    </w:p>
    <w:p>
      <w:pPr>
        <w:wordWrap w:val="0"/>
        <w:autoSpaceDE w:val="0"/>
        <w:autoSpaceDN w:val="0"/>
        <w:spacing w:after="40" w:before="0" w:line="300" w:lineRule="auto"/>
        <w:ind w:hanging="280" w:left="280"/>
      </w:pPr>
      <w:r>
        <w:rPr>
          <w:rFonts w:ascii="Times New Roman" w:hAnsi="Times New Roman" w:eastAsia="신명조"/>
          <w:b w:val="0"/>
          <w:i w:val="0"/>
          <w:sz w:val="17"/>
        </w:rPr>
        <w:t>[14] Y. Wang, H. Wu, J. Dong, G. Qin, H. Zhang, Y. Liu, Y. Qiu, J. Wang, and M. Long, "TimeXer: Empowering transformers for time series forecasting with exogenous variables," in Advances in Neural Information Processing Systems, 2024.</w:t>
      </w:r>
    </w:p>
    <w:p>
      <w:pPr>
        <w:wordWrap w:val="0"/>
        <w:autoSpaceDE w:val="0"/>
        <w:autoSpaceDN w:val="0"/>
        <w:spacing w:after="40" w:before="0" w:line="300" w:lineRule="auto"/>
        <w:ind w:hanging="280" w:left="280"/>
      </w:pPr>
      <w:r>
        <w:rPr>
          <w:rFonts w:ascii="Times New Roman" w:hAnsi="Times New Roman" w:eastAsia="신명조"/>
          <w:b w:val="0"/>
          <w:i w:val="0"/>
          <w:sz w:val="17"/>
        </w:rPr>
        <w:t>[15] T. Fischer and C. Krauss, "Deep learning with long short-term memory networks for financial market predictions," European Journal of Operational Research, Vol.270, No.2, pp.654-669, 2018.</w:t>
      </w:r>
    </w:p>
    <w:p>
      <w:pPr>
        <w:wordWrap w:val="0"/>
        <w:autoSpaceDE w:val="0"/>
        <w:autoSpaceDN w:val="0"/>
        <w:spacing w:after="40" w:before="0" w:line="300" w:lineRule="auto"/>
        <w:ind w:hanging="280" w:left="280"/>
      </w:pPr>
      <w:r>
        <w:rPr>
          <w:rFonts w:ascii="Times New Roman" w:hAnsi="Times New Roman" w:eastAsia="신명조"/>
          <w:b w:val="0"/>
          <w:i w:val="0"/>
          <w:sz w:val="17"/>
        </w:rPr>
        <w:t>[16] S. Gu, B. Kelly, and D. Xiu, "Empirical asset pricing via machine learning," The Review of Financial Studies, Vol.33, No.5, pp.2223-2273, 2020.</w:t>
      </w:r>
    </w:p>
    <w:p>
      <w:pPr>
        <w:wordWrap w:val="0"/>
        <w:autoSpaceDE w:val="0"/>
        <w:autoSpaceDN w:val="0"/>
        <w:spacing w:after="40" w:before="0" w:line="300" w:lineRule="auto"/>
        <w:ind w:hanging="280" w:left="280"/>
      </w:pPr>
      <w:r>
        <w:rPr>
          <w:rFonts w:ascii="Times New Roman" w:hAnsi="Times New Roman" w:eastAsia="신명조"/>
          <w:b w:val="0"/>
          <w:i w:val="0"/>
          <w:sz w:val="17"/>
        </w:rPr>
        <w:t>[17] H. J. Kim and Y. S. Jung, "A stock price prediction based on recurrent convolution neural network with weighted loss function," KIPS Transactions on Software and Data Engineering, Vol.8, No.3, pp.123-128, 2019.</w:t>
      </w:r>
    </w:p>
    <w:p>
      <w:pPr>
        <w:wordWrap w:val="0"/>
        <w:autoSpaceDE w:val="0"/>
        <w:autoSpaceDN w:val="0"/>
        <w:spacing w:after="40" w:before="0" w:line="300" w:lineRule="auto"/>
        <w:ind w:hanging="280" w:left="280"/>
      </w:pPr>
      <w:r>
        <w:rPr>
          <w:rFonts w:ascii="Times New Roman" w:hAnsi="Times New Roman" w:eastAsia="신명조"/>
          <w:b w:val="0"/>
          <w:i w:val="0"/>
          <w:sz w:val="17"/>
        </w:rPr>
        <w:t>[18] X. Yang, W. Liu, D. Zhou, J. Bian, and T.-Y. Liu, "Qlib: An AI-oriented quantitative investment platform," arXiv preprint arXiv:2009.11189, 2020.</w:t>
      </w:r>
    </w:p>
    <w:p>
      <w:pPr>
        <w:wordWrap w:val="0"/>
        <w:autoSpaceDE w:val="0"/>
        <w:autoSpaceDN w:val="0"/>
        <w:spacing w:after="40" w:before="0" w:line="300" w:lineRule="auto"/>
        <w:ind w:hanging="280" w:left="280"/>
      </w:pPr>
      <w:r>
        <w:rPr>
          <w:rFonts w:ascii="Times New Roman" w:hAnsi="Times New Roman" w:eastAsia="신명조"/>
          <w:b w:val="0"/>
          <w:i w:val="0"/>
          <w:sz w:val="17"/>
        </w:rPr>
        <w:t>[19] G. Ke, Q. Meng, T. Finley, T. Wang, W. Chen, W. Ma, Q. Ye, and T.-Y. Liu, "LightGBM: A highly efficient gradient boosting decision tree," Advances in Neural Information Processing Systems, Vol.30, pp.3146-3154, 2017.</w:t>
      </w:r>
    </w:p>
    <w:p>
      <w:pPr>
        <w:wordWrap w:val="0"/>
        <w:autoSpaceDE w:val="0"/>
        <w:autoSpaceDN w:val="0"/>
        <w:spacing w:after="40" w:before="0" w:line="300" w:lineRule="auto"/>
        <w:ind w:hanging="280" w:left="280"/>
      </w:pPr>
      <w:r>
        <w:rPr>
          <w:rFonts w:ascii="Times New Roman" w:hAnsi="Times New Roman" w:eastAsia="신명조"/>
          <w:b w:val="0"/>
          <w:i w:val="0"/>
          <w:sz w:val="17"/>
        </w:rPr>
        <w:t>[20] M. K. Kwon and J. W. Nam, "AI and asset management: A review of the possibility of a paradigm shift," Issue Report 25-21, Korea Capital Market Institute, 2025 (in Korean).</w:t>
      </w:r>
    </w:p>
    <w:sectPr w:rsidR="00FC693F" w:rsidRPr="0006063C" w:rsidSect="00034616">
      <w:type w:val="continuous"/>
      <w:pgSz w:w="11906" w:h="16838"/>
      <w:pgMar w:top="1446" w:right="1134" w:bottom="879" w:left="1134" w:header="567" w:footer="567"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