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top"/>
          </w:tcPr>
          <w:tbl>
            <w:tblPr>
              <w:tblW w:type="pct" w:w="5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1906"/>
            </w:tblGrid>
            <w:tr>
              <w:trPr>
                <w:trHeight w:val="750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2330" w:val="clear"/>
                  <w:tcMar>
                    <w:left w:type="dxa" w:w="1200"/>
                    <w:right w:type="dxa" w:w="800"/>
                  </w:tcMar>
                  <w:vAlign w:val="top"/>
                </w:tcPr>
                <w:p>
                  <w:pPr>
                    <w:spacing w:before="2400"/>
                  </w:pPr>
                </w:p>
                <w:p>
                  <w:pPr>
                    <w:spacing w:after="500"/>
                  </w:pPr>
                  <w:r>
                    <w:rPr>
                      <w:rFonts w:ascii="Arial"/>
                      <w:color w:val="D4875A"/>
                      <w:spacing w:val="60"/>
                      <w:sz w:val="18"/>
                      <w:szCs w:val="18"/>
                    </w:rPr>
                    <w:t xml:space="preserve">D M R V  P R O J E C T</w:t>
                  </w:r>
                </w:p>
                <w:p>
                  <w:pPr>
                    <w:spacing w:after="100"/>
                  </w:pPr>
                  <w:r>
                    <w:rPr>
                      <w:rFonts w:ascii="Arial" w:eastAsia="SimHei"/>
                      <w:b/>
                      <w:bCs/>
                      <w:color w:val="FFFFFF"/>
                      <w:sz w:val="56"/>
                      <w:szCs w:val="56"/>
                    </w:rPr>
                    <w:t xml:space="preserve">โครงการ DMRV</w:t>
                  </w:r>
                </w:p>
                <w:p>
                  <w:pPr>
                    <w:spacing w:after="200"/>
                  </w:pPr>
                  <w:r>
                    <w:rPr>
                      <w:rFonts w:ascii="Arial" w:eastAsia="SimHei"/>
                      <w:b/>
                      <w:bCs/>
                      <w:color w:val="FFFFFF"/>
                      <w:sz w:val="40"/>
                      <w:szCs w:val="40"/>
                    </w:rPr>
                    <w:t xml:space="preserve">ตรวจสอบคาร์บอนเครดิต</w:t>
                  </w:r>
                </w:p>
                <w:p>
                  <w:pPr>
                    <w:spacing w:after="100"/>
                  </w:pPr>
                  <w:r>
                    <w:rPr>
                      <w:rFonts w:ascii="Arial" w:eastAsia="Microsoft YaHei"/>
                      <w:color w:val="B0B8C0"/>
                      <w:sz w:val="32"/>
                      <w:szCs w:val="32"/>
                    </w:rPr>
                    <w:t xml:space="preserve">เกษตรดักตะกอนดินบนที่สูง</w:t>
                  </w:r>
                </w:p>
              </w:tc>
            </w:tr>
          </w:tbl>
          <w:tbl>
            <w:tblPr>
              <w:tblW w:type="pct" w:w="5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1906"/>
            </w:tblGrid>
            <w:tr>
              <w:trPr>
                <w:trHeight w:val="6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4875A" w:val="clear"/>
                </w:tcPr>
                <w:p/>
              </w:tc>
            </w:tr>
          </w:tbl>
          <w:p>
            <w:pPr>
              <w:spacing w:before="800"/>
            </w:pP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เสนอของทุนนวัตกรรมเพื่อสังคม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จังหวัดน่าน  ประเทศไทย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2"/>
                <w:szCs w:val="22"/>
              </w:rPr>
              <w:t xml:space="preserve">รองรับ T-VER / VCS / Gold Standard / ISO 14064</w:t>
            </w:r>
          </w:p>
          <w:p>
            <w:pPr>
              <w:spacing w:before="2000"/>
            </w:pPr>
          </w:p>
          <w:p>
            <w:pPr>
              <w:ind w:left="1200"/>
            </w:pPr>
            <w:r>
              <w:rPr>
                <w:color w:val="909090"/>
                <w:sz w:val="22"/>
                <w:szCs w:val="22"/>
              </w:rPr>
              <w:t xml:space="preserve">SedimentCarbon dMRV</w:t>
            </w:r>
            <w:r>
              <w:t xml:space="preserve">                              </w:t>
            </w:r>
            <w:r>
              <w:rPr>
                <w:color w:val="909090"/>
                <w:sz w:val="22"/>
                <w:szCs w:val="22"/>
              </w:rPr>
              <w:t xml:space="preserve">ตุลาคม 2568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200" w:before="400" w:line="312"/>
        <w:jc w:val="center"/>
      </w:pPr>
      <w:r>
        <w:rPr>
          <w:rFonts w:ascii="Arial" w:eastAsia="SimHei"/>
          <w:b/>
          <w:bCs/>
          <w:color w:val="000000"/>
          <w:sz w:val="32"/>
          <w:szCs w:val="32"/>
        </w:rPr>
        <w:t xml:space="preserve">บทที่ 1  บทสรุปผู้บริหาร</w:t>
      </w:r>
    </w:p>
    <w:p>
      <w:pPr>
        <w:spacing w:after="60" w:before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โครงการ Digital MRV (การตรวจสอบวัดตามดิจิทัล) สำหรับเกษตรดักตะกอนดินบนที่สูง เป็นระบบที่นำเทคโนโลยีดิจิทัลมาใช้ในการตรวจสอบและยืนยันการกักเก็บคาร์บอนในพื้นที่เกษตรกรรมภาคตัวจริง โดยเฉพาะพื้นที่สูงที่เคยทำไร่เลื่นลอย แล้วปรับมาเป็นเกษตรกรรมดักตะกอนดินด้วยการทำแปลงเป็นขั้นบันได 1.5 เมตร มีคันปลูกหญ้าแฝก 0.8 เมตร และมีฝายชะลอน้ำในแปลง รวมถึงการปลูกพืชหมุนเวียน ชา และกาแฟ โครงการนี้มีวัตถุประกอบหลายอย่างคือ</w:t>
      </w:r>
    </w:p>
    <w:p>
      <w:pPr>
        <w:spacing w:after="40" w:before="40" w:line="312"/>
        <w:ind w:left="72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• </w:t>
      </w:r>
      <w:r>
        <w:rPr>
          <w:rFonts w:ascii="Times New Roman" w:eastAsia="SimSun"/>
          <w:color w:val="000000"/>
          <w:sz w:val="24"/>
          <w:szCs w:val="24"/>
        </w:rPr>
        <w:t xml:space="preserve">ช่วยชุมชนเข้าถึงระบบตรวจสอบคาร์บอนเครดิตได้ง่ยขึ้น</w:t>
      </w:r>
    </w:p>
    <w:p>
      <w:pPr>
        <w:spacing w:after="40" w:before="40" w:line="312"/>
        <w:ind w:left="72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• </w:t>
      </w:r>
      <w:r>
        <w:rPr>
          <w:rFonts w:ascii="Times New Roman" w:eastAsia="SimSun"/>
          <w:color w:val="000000"/>
          <w:sz w:val="24"/>
          <w:szCs w:val="24"/>
        </w:rPr>
        <w:t xml:space="preserve">ลดค่าตรวจประเม่นจากข้อมูล dMRV ที่ตรวจสอบยืนยันด้วย hash chain audit trail</w:t>
      </w:r>
    </w:p>
    <w:p>
      <w:pPr>
        <w:spacing w:after="40" w:before="40" w:line="312"/>
        <w:ind w:left="72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• </w:t>
      </w:r>
      <w:r>
        <w:rPr>
          <w:rFonts w:ascii="Times New Roman" w:eastAsia="SimSun"/>
          <w:color w:val="000000"/>
          <w:sz w:val="24"/>
          <w:szCs w:val="24"/>
        </w:rPr>
        <w:t xml:space="preserve">เพิ่มรายได้จากคาร์บอนเครดิต พร้อมการใช้ Biochar เพิ่มการกักเก็บคาร์บอนถาวร</w:t>
      </w:r>
    </w:p>
    <w:p>
      <w:pPr>
        <w:spacing w:after="40" w:before="40" w:line="312"/>
        <w:ind w:left="72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• </w:t>
      </w:r>
      <w:r>
        <w:rPr>
          <w:rFonts w:ascii="Times New Roman" w:eastAsia="SimSun"/>
          <w:color w:val="000000"/>
          <w:sz w:val="24"/>
          <w:szCs w:val="24"/>
        </w:rPr>
        <w:t xml:space="preserve">ลดการพังทลายหน้าดิน ดินโคลนถล่ม น้ำป่าไหลหลอก และอทุกภัย</w:t>
      </w:r>
    </w:p>
    <w:p>
      <w:pPr>
        <w:spacing w:after="40" w:before="40" w:line="312"/>
        <w:ind w:left="72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• </w:t>
      </w:r>
      <w:r>
        <w:rPr>
          <w:rFonts w:ascii="Times New Roman" w:eastAsia="SimSun"/>
          <w:color w:val="000000"/>
          <w:sz w:val="24"/>
          <w:szCs w:val="24"/>
        </w:rPr>
        <w:t xml:space="preserve">ช่วยปรับสภาพแวดล้อมให้ยื่งยืน และสร้างความน่าเชื่อถือให้กับคาร์บอนเครดิต</w:t>
      </w:r>
    </w:p>
    <w:p>
      <w:r>
        <w:br w:type="page"/>
      </w:r>
    </w:p>
    <w:p>
      <w:pPr>
        <w:pStyle w:val="Heading1"/>
        <w:spacing w:after="200" w:before="400" w:line="312"/>
        <w:jc w:val="center"/>
      </w:pPr>
      <w:r>
        <w:rPr>
          <w:rFonts w:ascii="Arial" w:eastAsia="SimHei"/>
          <w:b/>
          <w:bCs/>
          <w:color w:val="000000"/>
          <w:sz w:val="32"/>
          <w:szCs w:val="32"/>
        </w:rPr>
        <w:t xml:space="preserve">บทที่ 2  ที่มาและความสำคัญ</w:t>
      </w:r>
    </w:p>
    <w:p>
      <w:pPr>
        <w:pStyle w:val="Heading2"/>
        <w:spacing w:after="120" w:before="300" w:line="312"/>
      </w:pPr>
      <w:r>
        <w:rPr>
          <w:rFonts w:ascii="Arial" w:eastAsia="SimHei"/>
          <w:b/>
          <w:bCs/>
          <w:color w:val="000000"/>
          <w:sz w:val="30"/>
          <w:szCs w:val="30"/>
        </w:rPr>
        <w:t xml:space="preserve">2.1  ปัญหาการไร่เลื่นลอยบนที่สูง</w:t>
      </w:r>
    </w:p>
    <w:p>
      <w:pPr>
        <w:spacing w:after="60" w:before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พื้นที่สูงในจังหวัดน่าน และจังหวัดอื่นในภาคเหนือ เคยถืกใช้เป็นพื้นที่ทำไร่เลื่นลอย (ไร่หลิ่ง) ก่อนต้นเหลือซึ่งเป็นการทำนาของคนภูบาลาย โดยเฉพาะพื้นที่ที่มีความลาชันมาก 15-40% จะมีอัตราการพังทลายของดินสูงถึง 45-120 ตัน/ไร่/ปี ทำให้ดินโคลนถล่ม น้ำป่าไหลหลอก และเกิดอทุกภัยเป็นประจำ</w:t>
      </w:r>
    </w:p>
    <w:p>
      <w:pPr>
        <w:spacing w:after="60" w:before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การปรับมาทำเกษตรดักตะกอนดินด้วยระบบขั้นบันไดตามแนวไหล ติดคันหญ้าแฝก และติดฝายชะลอนน้ำในแปลง ช่วยลดการพังทลาย ดินโคลนถล่ม น้ำป่าไหลหลอก และอทุกภัย รวมถึงเพิ่มการกักเก็บคาร์บอนในดินและตะกอนดิน อย่างไร้การรับรองคาร์บอนเครดิตมีค่าใช้จ่ายสูง และชุมชนไม่สามารถเข้าถึงระบบได้</w:t>
      </w:r>
    </w:p>
    <w:p>
      <w:pPr>
        <w:pStyle w:val="Heading2"/>
        <w:spacing w:after="120" w:before="300" w:line="312"/>
      </w:pPr>
      <w:r>
        <w:rPr>
          <w:rFonts w:ascii="Arial" w:eastAsia="SimHei"/>
          <w:b/>
          <w:bCs/>
          <w:color w:val="000000"/>
          <w:sz w:val="30"/>
          <w:szCs w:val="30"/>
        </w:rPr>
        <w:t xml:space="preserve">2.2  ความสำคัญของ dMRV</w:t>
      </w:r>
    </w:p>
    <w:p>
      <w:pPr>
        <w:spacing w:after="60" w:before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ระบบ Digital MRV ช่วยลดขั้นตอนและเวลาของผู้ตรวจประเม่นในการลงพื้นที่ โดยข้อมูลที่ตรวจสอบยืนยันด้วยหลักฐาน และข้อมูลที่พิสูจนได้ ทั้งขอบเขตตำตั้งแปลง และค่าที่วัดได้ สามารถตรวจสอบย้อนกลับได้ผ่าน hash chain audit trail ที่ไม่ต้องใช้ blockchain ทำให้ค่าใช้จ่ายต่ำลง และสร้างความน่าเชื่อถือให้กับคาร์บอนเครดิตช่วยเพิ่มมูลค่าได้</w:t>
      </w:r>
    </w:p>
    <w:p>
      <w:r>
        <w:br w:type="page"/>
      </w:r>
    </w:p>
    <w:p>
      <w:pPr>
        <w:pStyle w:val="Heading1"/>
        <w:spacing w:after="200" w:before="400" w:line="312"/>
        <w:jc w:val="center"/>
      </w:pPr>
      <w:r>
        <w:rPr>
          <w:rFonts w:ascii="Arial" w:eastAsia="SimHei"/>
          <w:b/>
          <w:bCs/>
          <w:color w:val="000000"/>
          <w:sz w:val="32"/>
          <w:szCs w:val="32"/>
        </w:rPr>
        <w:t xml:space="preserve">บทที่ 3  วัตถุประสงค์</w:t>
      </w:r>
    </w:p>
    <w:p>
      <w:pPr>
        <w:spacing w:after="60" w:before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โครงการนี้มีวัตถุประสงค์หลักดังต่อไปนี้:</w:t>
      </w:r>
    </w:p>
    <w:p>
      <w:pPr>
        <w:pStyle w:val="Heading3"/>
        <w:spacing w:after="100" w:before="200" w:line="312"/>
      </w:pPr>
      <w:r>
        <w:rPr>
          <w:rFonts w:ascii="Arial" w:eastAsia="SimHei"/>
          <w:b/>
          <w:bCs/>
          <w:color w:val="000000"/>
          <w:sz w:val="28"/>
          <w:szCs w:val="28"/>
        </w:rPr>
        <w:t xml:space="preserve">3.1  วัตถุประสงค์ทางสังคม</w:t>
      </w:r>
    </w:p>
    <w:p>
      <w:pPr>
        <w:spacing w:after="40" w:before="40" w:line="312"/>
        <w:ind w:left="72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• </w:t>
      </w:r>
      <w:r>
        <w:rPr>
          <w:rFonts w:ascii="Times New Roman" w:eastAsia="SimSun"/>
          <w:color w:val="000000"/>
          <w:sz w:val="24"/>
          <w:szCs w:val="24"/>
        </w:rPr>
        <w:t xml:space="preserve">ช่วยชุมชนเข้าถึงระบบคาร์บอนเครดิตได้ง่ยขึ้น โดยลดค่าตรวจประเม่น 50% ในรอบต่อไป</w:t>
      </w:r>
    </w:p>
    <w:p>
      <w:pPr>
        <w:spacing w:after="40" w:before="40" w:line="312"/>
        <w:ind w:left="72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• </w:t>
      </w:r>
      <w:r>
        <w:rPr>
          <w:rFonts w:ascii="Times New Roman" w:eastAsia="SimSun"/>
          <w:color w:val="000000"/>
          <w:sz w:val="24"/>
          <w:szCs w:val="24"/>
        </w:rPr>
        <w:t xml:space="preserve">เพิ่งรายได้จากการขายคาร์บอนเครดิต พร้อมการเพิ่มมูลค่าม่ากความน่าเชื่อถือ 10%</w:t>
      </w:r>
    </w:p>
    <w:p>
      <w:pPr>
        <w:spacing w:after="40" w:before="40" w:line="312"/>
        <w:ind w:left="72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• </w:t>
      </w:r>
      <w:r>
        <w:rPr>
          <w:rFonts w:ascii="Times New Roman" w:eastAsia="SimSun"/>
          <w:color w:val="000000"/>
          <w:sz w:val="24"/>
          <w:szCs w:val="24"/>
        </w:rPr>
        <w:t xml:space="preserve">ลดค่าใช้จ่ายจากการลงพื้นที่ตรวจสอบ โดยใช้ IoT sensors และกฎออโตแมติชัน</w:t>
      </w:r>
    </w:p>
    <w:p>
      <w:pPr>
        <w:pStyle w:val="Heading3"/>
        <w:spacing w:after="100" w:before="200" w:line="312"/>
      </w:pPr>
      <w:r>
        <w:rPr>
          <w:rFonts w:ascii="Arial" w:eastAsia="SimHei"/>
          <w:b/>
          <w:bCs/>
          <w:color w:val="000000"/>
          <w:sz w:val="28"/>
          <w:szCs w:val="28"/>
        </w:rPr>
        <w:t xml:space="preserve">3.2  วัตถุประสงค์ทางสิ่งแวดล้อม</w:t>
      </w:r>
    </w:p>
    <w:p>
      <w:pPr>
        <w:spacing w:after="40" w:before="40" w:line="312"/>
        <w:ind w:left="72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• </w:t>
      </w:r>
      <w:r>
        <w:rPr>
          <w:rFonts w:ascii="Times New Roman" w:eastAsia="SimSun"/>
          <w:color w:val="000000"/>
          <w:sz w:val="24"/>
          <w:szCs w:val="24"/>
        </w:rPr>
        <w:t xml:space="preserve">ลดการพังทลายหน้าดิน ดินโคลนถล่ม น้ำป่าไหลหลอก และอทุกภัย</w:t>
      </w:r>
    </w:p>
    <w:p>
      <w:pPr>
        <w:spacing w:after="40" w:before="40" w:line="312"/>
        <w:ind w:left="72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• </w:t>
      </w:r>
      <w:r>
        <w:rPr>
          <w:rFonts w:ascii="Times New Roman" w:eastAsia="SimSun"/>
          <w:color w:val="000000"/>
          <w:sz w:val="24"/>
          <w:szCs w:val="24"/>
        </w:rPr>
        <w:t xml:space="preserve">เพิ่มปริมาณคาร์บอนที่กักเก็บในดิน พร้อมใช้ Biochar เพิ่มการกักเก็บคาร์บอนถาวร</w:t>
      </w:r>
    </w:p>
    <w:p>
      <w:pPr>
        <w:spacing w:after="40" w:before="40" w:line="312"/>
        <w:ind w:left="72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• </w:t>
      </w:r>
      <w:r>
        <w:rPr>
          <w:rFonts w:ascii="Times New Roman" w:eastAsia="SimSun"/>
          <w:color w:val="000000"/>
          <w:sz w:val="24"/>
          <w:szCs w:val="24"/>
        </w:rPr>
        <w:t xml:space="preserve">ช่วยปรับสภาพแวดล้อมให้ยื่งยืน และสร้างความน่าเชื่อถือ</w:t>
      </w:r>
    </w:p>
    <w:p>
      <w:r>
        <w:br w:type="page"/>
      </w:r>
    </w:p>
    <w:p>
      <w:pPr>
        <w:pStyle w:val="Heading1"/>
        <w:spacing w:after="200" w:before="400" w:line="312"/>
        <w:jc w:val="center"/>
      </w:pPr>
      <w:r>
        <w:rPr>
          <w:rFonts w:ascii="Arial" w:eastAsia="SimHei"/>
          <w:b/>
          <w:bCs/>
          <w:color w:val="000000"/>
          <w:sz w:val="32"/>
          <w:szCs w:val="32"/>
        </w:rPr>
        <w:t xml:space="preserve">บทที่ 4  ขอบเขตและพื้นที่โครงการ</w:t>
      </w:r>
    </w:p>
    <w:p>
      <w:pPr>
        <w:pStyle w:val="Heading2"/>
        <w:spacing w:after="120" w:before="300" w:line="312"/>
      </w:pPr>
      <w:r>
        <w:rPr>
          <w:rFonts w:ascii="Arial" w:eastAsia="SimHei"/>
          <w:b/>
          <w:bCs/>
          <w:color w:val="000000"/>
          <w:sz w:val="30"/>
          <w:szCs w:val="30"/>
        </w:rPr>
        <w:t xml:space="preserve">4.1  พื้นที่เป้าหมาย</w:t>
      </w:r>
    </w:p>
    <w:p>
      <w:pPr>
        <w:spacing w:after="60" w:before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โครงการดำเนินที่พื้นที่สูงในจังหวัดน่าน ประกอบด้วย 4 แปลงตัวอย่าง ใน 4 อำเภอ ดังนี้:</w:t>
      </w:r>
    </w:p>
    <w:p>
      <w:pPr>
        <w:keepNext/>
      </w:pPr>
      <w:r>
        <w:rPr>
          <w:rFonts w:ascii="Times New Roman" w:eastAsia="SimSun"/>
          <w:b/>
          <w:bCs/>
          <w:sz w:val="21"/>
          <w:szCs w:val="21"/>
        </w:rPr>
        <w:t xml:space="preserve">ตาราง 1  รายละเอียดแปลงตัวอย่างในโครงการ</w:t>
      </w:r>
    </w:p>
    <w:tbl>
      <w:tblPr>
        <w:tblW w:type="pct" w:w="5000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230"/>
        <w:gridCol w:w="1230"/>
        <w:gridCol w:w="1230"/>
        <w:gridCol w:w="1230"/>
        <w:gridCol w:w="1230"/>
        <w:gridCol w:w="1230"/>
        <w:gridCol w:w="1230"/>
      </w:tblGrid>
      <w:tr>
        <w:trPr>
          <w:cantSplit/>
          <w:tblHeader/>
        </w:trPr>
        <w:tc>
          <w:tcPr>
            <w:tcW w:type="pct" w:w="7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ชื่อแปลง</w:t>
            </w:r>
          </w:p>
        </w:tc>
        <w:tc>
          <w:tcPr>
            <w:tcW w:type="pct" w:w="7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อำเภอ</w:t>
            </w:r>
          </w:p>
        </w:tc>
        <w:tc>
          <w:tcPr>
            <w:tcW w:type="pct" w:w="7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พื้นที่ (ha)</w:t>
            </w:r>
          </w:p>
        </w:tc>
        <w:tc>
          <w:tcPr>
            <w:tcW w:type="pct" w:w="7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ความสูง (m)</w:t>
            </w:r>
          </w:p>
        </w:tc>
        <w:tc>
          <w:tcPr>
            <w:tcW w:type="pct" w:w="7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ความลาชัน (%)</w:t>
            </w:r>
          </w:p>
        </w:tc>
        <w:tc>
          <w:tcPr>
            <w:tcW w:type="pct" w:w="7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พืชผล</w:t>
            </w:r>
          </w:p>
        </w:tc>
        <w:tc>
          <w:tcPr>
            <w:tcW w:type="pct" w:w="7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มาตรฐาน</w:t>
            </w:r>
          </w:p>
        </w:tc>
      </w:tr>
      <w:tr>
        <w:trPr>
          <w:cantSplit/>
        </w:trPr>
        <w:tc>
          <w:tcPr>
            <w:tcW w:type="pct" w:w="7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แปลงชาภูเขา</w:t>
            </w:r>
          </w:p>
        </w:tc>
        <w:tc>
          <w:tcPr>
            <w:tcW w:type="pct" w:w="7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แม่จริม</w:t>
            </w:r>
          </w:p>
        </w:tc>
        <w:tc>
          <w:tcPr>
            <w:tcW w:type="pct" w:w="7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32</w:t>
            </w:r>
          </w:p>
        </w:tc>
        <w:tc>
          <w:tcPr>
            <w:tcW w:type="pct" w:w="7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1,100</w:t>
            </w:r>
          </w:p>
        </w:tc>
        <w:tc>
          <w:tcPr>
            <w:tcW w:type="pct" w:w="7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28</w:t>
            </w:r>
          </w:p>
        </w:tc>
        <w:tc>
          <w:tcPr>
            <w:tcW w:type="pct" w:w="7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ชา</w:t>
            </w:r>
          </w:p>
        </w:tc>
        <w:tc>
          <w:tcPr>
            <w:tcW w:type="pct" w:w="7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T-VER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แปลงกาแฟอราบิกา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ปัว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25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1,250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35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กาแฟ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VCS</w:t>
            </w:r>
          </w:p>
        </w:tc>
      </w:tr>
      <w:tr>
        <w:trPr>
          <w:cantSplit/>
        </w:trPr>
        <w:tc>
          <w:tcPr>
            <w:tcW w:type="pct" w:w="7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แปลงพืชหมุนเวียน</w:t>
            </w:r>
          </w:p>
        </w:tc>
        <w:tc>
          <w:tcPr>
            <w:tcW w:type="pct" w:w="7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สันติสุข</w:t>
            </w:r>
          </w:p>
        </w:tc>
        <w:tc>
          <w:tcPr>
            <w:tcW w:type="pct" w:w="7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40</w:t>
            </w:r>
          </w:p>
        </w:tc>
        <w:tc>
          <w:tcPr>
            <w:tcW w:type="pct" w:w="7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600</w:t>
            </w:r>
          </w:p>
        </w:tc>
        <w:tc>
          <w:tcPr>
            <w:tcW w:type="pct" w:w="7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18</w:t>
            </w:r>
          </w:p>
        </w:tc>
        <w:tc>
          <w:tcPr>
            <w:tcW w:type="pct" w:w="7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ข้าวไร่/ถั่วเหลือง</w:t>
            </w:r>
          </w:p>
        </w:tc>
        <w:tc>
          <w:tcPr>
            <w:tcW w:type="pct" w:w="7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Gold Standard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แปลงผสมชา-กาแฟ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บ่อเกลือะ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28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1,400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40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ชา/กาแฟ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T-VER</w:t>
            </w:r>
          </w:p>
        </w:tc>
      </w:tr>
    </w:tbl>
    <w:p>
      <w:pPr>
        <w:spacing w:after="60" w:before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รวมพื้นที่ 125 ไร่ (780 ไร่) จาก 4 แปลง ที่เคยทำไร่เลื่นลอย แล้วปรับมาเป็นเกษตรกรรมดักตะกอนดิน</w:t>
      </w:r>
    </w:p>
    <w:p>
      <w:pPr>
        <w:pStyle w:val="Heading2"/>
        <w:spacing w:after="120" w:before="300" w:line="312"/>
      </w:pPr>
      <w:r>
        <w:rPr>
          <w:rFonts w:ascii="Arial" w:eastAsia="SimHei"/>
          <w:b/>
          <w:bCs/>
          <w:color w:val="000000"/>
          <w:sz w:val="30"/>
          <w:szCs w:val="30"/>
        </w:rPr>
        <w:t xml:space="preserve">4.2  การออกแบบแปลงดักตะกอนดิน</w:t>
      </w:r>
    </w:p>
    <w:p>
      <w:pPr>
        <w:spacing w:after="60" w:before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แต่ละแปลงมี 7-10 ขั้นบันได (terrace levels) ตามความลาชัน แต่ละขั้นมีความกว้าง 1.5 เมตร มีคันปลูกหญ้าแฝก 0.8 เมตร และมีฝายชะลอนน้ำในแปลง แปลงเอียงสลับกัน ทำให้น้ำไหลจากชันบนลงล่างสลับซ้าย-ขวา ช่วยหน่วงเวลาน้ำไหลได้มากขึ้น</w:t>
      </w:r>
    </w:p>
    <w:p>
      <w:r>
        <w:br w:type="page"/>
      </w:r>
    </w:p>
    <w:p>
      <w:pPr>
        <w:pStyle w:val="Heading1"/>
        <w:spacing w:after="200" w:before="400" w:line="312"/>
        <w:jc w:val="center"/>
      </w:pPr>
      <w:r>
        <w:rPr>
          <w:rFonts w:ascii="Arial" w:eastAsia="SimHei"/>
          <w:b/>
          <w:bCs/>
          <w:color w:val="000000"/>
          <w:sz w:val="32"/>
          <w:szCs w:val="32"/>
        </w:rPr>
        <w:t xml:space="preserve">บทที่ 5  ระเบียบวิธีและสมการแกนหลัก</w:t>
      </w:r>
    </w:p>
    <w:p>
      <w:pPr>
        <w:pStyle w:val="Heading2"/>
        <w:spacing w:after="120" w:before="300" w:line="312"/>
      </w:pPr>
      <w:r>
        <w:rPr>
          <w:rFonts w:ascii="Arial" w:eastAsia="SimHei"/>
          <w:b/>
          <w:bCs/>
          <w:color w:val="000000"/>
          <w:sz w:val="30"/>
          <w:szCs w:val="30"/>
        </w:rPr>
        <w:t xml:space="preserve">5.1  สมการคำนวณ SOC</w:t>
      </w:r>
    </w:p>
    <w:p>
      <w:pPr>
        <w:spacing w:after="60" w:before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SOC_stock = (%C / 100) × BD × D × (1 − CF / 100) × 100  (ผลลัพธิ์: t C/ha)</w:t>
      </w:r>
    </w:p>
    <w:p>
      <w:pPr>
        <w:spacing w:after="60" w:before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โดย %C = ร้อยละคาร์บอนในดินร้อยละ, BD = ความหนาแน่นรวม (g/cm³), D = ความละลึก (cm), CF = ร้อยละเศษหิน/กรวน (%)</w:t>
      </w:r>
    </w:p>
    <w:p>
      <w:pPr>
        <w:pStyle w:val="Heading2"/>
        <w:spacing w:after="120" w:before="300" w:line="312"/>
      </w:pPr>
      <w:r>
        <w:rPr>
          <w:rFonts w:ascii="Arial" w:eastAsia="SimHei"/>
          <w:b/>
          <w:bCs/>
          <w:color w:val="000000"/>
          <w:sz w:val="30"/>
          <w:szCs w:val="30"/>
        </w:rPr>
        <w:t xml:space="preserve">5.2  สมการคำนวณเครดิต</w:t>
      </w:r>
    </w:p>
    <w:p>
      <w:pPr>
        <w:spacing w:after="60" w:before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ER_net = (ΔSOC × 44/12 × A) − E_project − LK − BU</w:t>
      </w:r>
    </w:p>
    <w:p>
      <w:pPr>
        <w:spacing w:after="60" w:before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โดย A = พื้นที่โครงการ (ha), E_project = การปล่อย CH₄ และ N₂O, LK = Leakage, BU = Buffer Pool</w:t>
      </w:r>
    </w:p>
    <w:p>
      <w:pPr>
        <w:pStyle w:val="Heading2"/>
        <w:spacing w:after="120" w:before="300" w:line="312"/>
      </w:pPr>
      <w:r>
        <w:rPr>
          <w:rFonts w:ascii="Arial" w:eastAsia="SimHei"/>
          <w:b/>
          <w:bCs/>
          <w:color w:val="000000"/>
          <w:sz w:val="30"/>
          <w:szCs w:val="30"/>
        </w:rPr>
        <w:t xml:space="preserve">5.3  สมการ Biochar</w:t>
      </w:r>
    </w:p>
    <w:p>
      <w:pPr>
        <w:spacing w:after="60" w:before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C_persistent = rate (t/ha) × area (ha) × C_pct × BC+100</w:t>
      </w:r>
    </w:p>
    <w:p>
      <w:pPr>
        <w:spacing w:after="60" w:before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CO2e_persistent = C_persistent × 44/12  (ตาม VCS Biochar Methodology และ IPCC 2019 Refinement)</w:t>
      </w:r>
    </w:p>
    <w:p>
      <w:pPr>
        <w:pStyle w:val="Heading2"/>
        <w:spacing w:after="120" w:before="300" w:line="312"/>
      </w:pPr>
      <w:r>
        <w:rPr>
          <w:rFonts w:ascii="Arial" w:eastAsia="SimHei"/>
          <w:b/>
          <w:bCs/>
          <w:color w:val="000000"/>
          <w:sz w:val="30"/>
          <w:szCs w:val="30"/>
        </w:rPr>
        <w:t xml:space="preserve">5.4  สมการความไม่แน่นอน</w:t>
      </w:r>
    </w:p>
    <w:p>
      <w:pPr>
        <w:spacing w:after="60" w:before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U(%) = (t_0.95 × SD) / (x̄ × √n) × 100</w:t>
      </w:r>
    </w:p>
    <w:p>
      <w:pPr>
        <w:spacing w:after="60" w:before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U ≤ 15% → ไม่ต้องหักลด, 15% &lt; U ≤ 30% → หักลดตามสัดส่วน, U &gt; 30% → ระบบบังคัดเพิ่มจุดเก็บตัวอย่าง</w:t>
      </w:r>
    </w:p>
    <w:p>
      <w:pPr>
        <w:pStyle w:val="Heading2"/>
        <w:spacing w:after="120" w:before="300" w:line="312"/>
      </w:pPr>
      <w:r>
        <w:rPr>
          <w:rFonts w:ascii="Arial" w:eastAsia="SimHei"/>
          <w:b/>
          <w:bCs/>
          <w:color w:val="000000"/>
          <w:sz w:val="30"/>
          <w:szCs w:val="30"/>
        </w:rPr>
        <w:t xml:space="preserve">5.5  Audit Trail (Hash Chain)</w:t>
      </w:r>
    </w:p>
    <w:p>
      <w:pPr>
        <w:spacing w:after="60" w:before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การตรวจสอบย้อนกลับได้โดยไม่ต้องใช้ blockchain ใช้ SHA-256 hash chain ที่ต่อทอดอย แต่ละระเบียนมี prev_hash + record_hash ต่อทอดกัน</w:t>
      </w:r>
    </w:p>
    <w:p>
      <w:r>
        <w:br w:type="page"/>
      </w:r>
    </w:p>
    <w:p>
      <w:pPr>
        <w:pStyle w:val="Heading1"/>
        <w:spacing w:after="200" w:before="400" w:line="312"/>
        <w:jc w:val="center"/>
      </w:pPr>
      <w:r>
        <w:rPr>
          <w:rFonts w:ascii="Arial" w:eastAsia="SimHei"/>
          <w:b/>
          <w:bCs/>
          <w:color w:val="000000"/>
          <w:sz w:val="32"/>
          <w:szCs w:val="32"/>
        </w:rPr>
        <w:t xml:space="preserve">บทที่ 6  การวิเคราะห์งานการเงิน</w:t>
      </w:r>
    </w:p>
    <w:p>
      <w:pPr>
        <w:pStyle w:val="Heading2"/>
        <w:spacing w:after="120" w:before="300" w:line="312"/>
      </w:pPr>
      <w:r>
        <w:rPr>
          <w:rFonts w:ascii="Arial" w:eastAsia="SimHei"/>
          <w:b/>
          <w:bCs/>
          <w:color w:val="000000"/>
          <w:sz w:val="30"/>
          <w:szCs w:val="30"/>
        </w:rPr>
        <w:t xml:space="preserve">6.1  การแบ่งค่าตรวจประเม่นแยกรอบ</w:t>
      </w:r>
    </w:p>
    <w:p>
      <w:pPr>
        <w:spacing w:after="60" w:before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ค่าตรวจประเม่นแบ่งรอบแรก (Validation) และรอบถัดไป (Verification) แยกจากกัน เพราะ dMRV จะลดค่าในรอบถัดไป:</w:t>
      </w:r>
    </w:p>
    <w:p>
      <w:pPr>
        <w:keepNext/>
      </w:pPr>
      <w:r>
        <w:rPr>
          <w:rFonts w:ascii="Times New Roman" w:eastAsia="SimSun"/>
          <w:b/>
          <w:bCs/>
          <w:sz w:val="21"/>
          <w:szCs w:val="21"/>
        </w:rPr>
        <w:t xml:space="preserve">ตาราง 2  การแบ่งค่าตรวจประเม่น</w:t>
      </w:r>
    </w:p>
    <w:tbl>
      <w:tblPr>
        <w:tblW w:type="pct" w:w="5000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รอบตรวจ</w:t>
            </w:r>
          </w:p>
        </w:tc>
        <w:tc>
          <w:tcPr>
            <w:tcW w:type="pct" w:w="16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ค่า (THB)</w:t>
            </w:r>
          </w:p>
        </w:tc>
        <w:tc>
          <w:tcPr>
            <w:tcW w:type="pct" w:w="16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สาเหตุ</w:t>
            </w:r>
          </w:p>
        </w:tc>
      </w:tr>
      <w:tr>
        <w:trPr>
          <w:cantSplit/>
        </w:trPr>
        <w:tc>
          <w:tcPr>
            <w:tcW w:type="pct" w:w="16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รอบที่ 1 (Validation)</w:t>
            </w:r>
          </w:p>
        </w:tc>
        <w:tc>
          <w:tcPr>
            <w:tcW w:type="pct" w:w="16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150,000</w:t>
            </w:r>
          </w:p>
        </w:tc>
        <w:tc>
          <w:tcPr>
            <w:tcW w:type="pct" w:w="16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ยังไม่มีข้อมูล dMRV → ตรวจเต็มรอบ</w:t>
            </w:r>
          </w:p>
        </w:tc>
      </w:tr>
      <w:tr>
        <w:trPr>
          <w:cantSplit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รอบถัดไป (Verification)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75,000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มี dMRV แล้ว → ลด 50%</w:t>
            </w:r>
          </w:p>
        </w:tc>
      </w:tr>
    </w:tbl>
    <w:p>
      <w:pPr>
        <w:pStyle w:val="Heading2"/>
        <w:spacing w:after="120" w:before="300" w:line="312"/>
      </w:pPr>
      <w:r>
        <w:rPr>
          <w:rFonts w:ascii="Arial" w:eastAsia="SimHei"/>
          <w:b/>
          <w:bCs/>
          <w:color w:val="000000"/>
          <w:sz w:val="30"/>
          <w:szCs w:val="30"/>
        </w:rPr>
        <w:t xml:space="preserve">6.2  ผลการวิเคราะห์งาน</w:t>
      </w:r>
    </w:p>
    <w:p>
      <w:pPr>
        <w:keepNext/>
      </w:pPr>
      <w:r>
        <w:rPr>
          <w:rFonts w:ascii="Times New Roman" w:eastAsia="SimSun"/>
          <w:b/>
          <w:bCs/>
          <w:sz w:val="21"/>
          <w:szCs w:val="21"/>
        </w:rPr>
        <w:t xml:space="preserve">ตาราง 3  ผลการเงินเปรียบเทียบ dMRV</w:t>
      </w:r>
    </w:p>
    <w:tbl>
      <w:tblPr>
        <w:tblW w:type="pct" w:w="5000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pct" w:w="1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ตัวชี</w:t>
            </w:r>
          </w:p>
        </w:tc>
        <w:tc>
          <w:tcPr>
            <w:tcW w:type="pct" w:w="1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ไม่มี dMRV</w:t>
            </w:r>
          </w:p>
        </w:tc>
        <w:tc>
          <w:tcPr>
            <w:tcW w:type="pct" w:w="1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มี dMRV</w:t>
            </w:r>
          </w:p>
        </w:tc>
        <w:tc>
          <w:tcPr>
            <w:tcW w:type="pct" w:w="1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ส่วนต่าง</w:t>
            </w:r>
          </w:p>
        </w:tc>
      </w:tr>
      <w:tr>
        <w:trPr>
          <w:cantSplit/>
        </w:trPr>
        <w:tc>
          <w:tcPr>
            <w:tcW w:type="pct" w:w="1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NPV (THB)</w:t>
            </w:r>
          </w:p>
        </w:tc>
        <w:tc>
          <w:tcPr>
            <w:tcW w:type="pct" w:w="1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-10,900</w:t>
            </w:r>
          </w:p>
        </w:tc>
        <w:tc>
          <w:tcPr>
            <w:tcW w:type="pct" w:w="1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+73,882</w:t>
            </w:r>
          </w:p>
        </w:tc>
        <w:tc>
          <w:tcPr>
            <w:tcW w:type="pct" w:w="1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+84,782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IRR (%)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5.59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18.85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+13.26</w:t>
            </w:r>
          </w:p>
        </w:tc>
      </w:tr>
      <w:tr>
        <w:trPr>
          <w:cantSplit/>
        </w:trPr>
        <w:tc>
          <w:tcPr>
            <w:tcW w:type="pct" w:w="1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Payback (ปี)</w:t>
            </w:r>
          </w:p>
        </w:tc>
        <w:tc>
          <w:tcPr>
            <w:tcW w:type="pct" w:w="1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ไม่คุ้มทุน</w:t>
            </w:r>
          </w:p>
        </w:tc>
        <w:tc>
          <w:tcPr>
            <w:tcW w:type="pct" w:w="1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1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คุ้มทุน</w:t>
            </w:r>
          </w:p>
        </w:tc>
      </w:tr>
      <w:tr>
        <w:trPr>
          <w:cantSplit/>
        </w:trPr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ต้นทุนรวม (THB)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800,000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650,000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-150,000</w:t>
            </w:r>
          </w:p>
        </w:tc>
      </w:tr>
    </w:tbl>
    <w:p>
      <w:pPr>
        <w:spacing w:after="60" w:before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จากตารางจะเห็นว่า dMRV ช่วยประหยัด 150,000 บาท (2 รอบถัดไป × 75,000) ทำให้โครงการจากไม่คุ้มทุน กลายเป็นคุ้มทุน</w:t>
      </w:r>
    </w:p>
    <w:p>
      <w:r>
        <w:br w:type="page"/>
      </w:r>
    </w:p>
    <w:p>
      <w:pPr>
        <w:pStyle w:val="Heading1"/>
        <w:spacing w:after="200" w:before="400" w:line="312"/>
        <w:jc w:val="center"/>
      </w:pPr>
      <w:r>
        <w:rPr>
          <w:rFonts w:ascii="Arial" w:eastAsia="SimHei"/>
          <w:b/>
          <w:bCs/>
          <w:color w:val="000000"/>
          <w:sz w:val="32"/>
          <w:szCs w:val="32"/>
        </w:rPr>
        <w:t xml:space="preserve">บทที่ 7  ผลกระทบต่อสังคมและสิ่งแวดล้อม</w:t>
      </w:r>
    </w:p>
    <w:p>
      <w:pPr>
        <w:pStyle w:val="Heading2"/>
        <w:spacing w:after="120" w:before="300" w:line="312"/>
      </w:pPr>
      <w:r>
        <w:rPr>
          <w:rFonts w:ascii="Arial" w:eastAsia="SimHei"/>
          <w:b/>
          <w:bCs/>
          <w:color w:val="000000"/>
          <w:sz w:val="30"/>
          <w:szCs w:val="30"/>
        </w:rPr>
        <w:t xml:space="preserve">7.1  ผลกระทบต่อสังคม</w:t>
      </w:r>
    </w:p>
    <w:p>
      <w:pPr>
        <w:spacing w:after="40" w:before="40" w:line="312"/>
        <w:ind w:left="72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• </w:t>
      </w:r>
      <w:r>
        <w:rPr>
          <w:rFonts w:ascii="Times New Roman" w:eastAsia="SimSun"/>
          <w:color w:val="000000"/>
          <w:sz w:val="24"/>
          <w:szCs w:val="24"/>
        </w:rPr>
        <w:t xml:space="preserve">เพิ่งรายได้จากคาร์บอนเครดิต ประมาณ 2,100 tCO₂e จาก 125 ไร่</w:t>
      </w:r>
    </w:p>
    <w:p>
      <w:pPr>
        <w:spacing w:after="40" w:before="40" w:line="312"/>
        <w:ind w:left="72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• </w:t>
      </w:r>
      <w:r>
        <w:rPr>
          <w:rFonts w:ascii="Times New Roman" w:eastAsia="SimSun"/>
          <w:color w:val="000000"/>
          <w:sz w:val="24"/>
          <w:szCs w:val="24"/>
        </w:rPr>
        <w:t xml:space="preserve">ลดค่าตรวจประเม่น 50% ในรอบถัดไป จากข้อมูล dMRV</w:t>
      </w:r>
    </w:p>
    <w:p>
      <w:pPr>
        <w:spacing w:after="40" w:before="40" w:line="312"/>
        <w:ind w:left="72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• </w:t>
      </w:r>
      <w:r>
        <w:rPr>
          <w:rFonts w:ascii="Times New Roman" w:eastAsia="SimSun"/>
          <w:color w:val="000000"/>
          <w:sz w:val="24"/>
          <w:szCs w:val="24"/>
        </w:rPr>
        <w:t xml:space="preserve">ช่วยชุมชนเข้าถึงระบบได้ง่ยขึ้น โดยไม่ต้องลงทุนสูง</w:t>
      </w:r>
    </w:p>
    <w:p>
      <w:pPr>
        <w:pStyle w:val="Heading2"/>
        <w:spacing w:after="120" w:before="300" w:line="312"/>
      </w:pPr>
      <w:r>
        <w:rPr>
          <w:rFonts w:ascii="Arial" w:eastAsia="SimHei"/>
          <w:b/>
          <w:bCs/>
          <w:color w:val="000000"/>
          <w:sz w:val="30"/>
          <w:szCs w:val="30"/>
        </w:rPr>
        <w:t xml:space="preserve">7.2  ผลกระทบต่อสิ่งแวดล้อม</w:t>
      </w:r>
    </w:p>
    <w:p>
      <w:pPr>
        <w:spacing w:after="40" w:before="40" w:line="312"/>
        <w:ind w:left="72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• </w:t>
      </w:r>
      <w:r>
        <w:rPr>
          <w:rFonts w:ascii="Times New Roman" w:eastAsia="SimSun"/>
          <w:color w:val="000000"/>
          <w:sz w:val="24"/>
          <w:szCs w:val="24"/>
        </w:rPr>
        <w:t xml:space="preserve">ลดการพังทลายหน้าดิน จากการทำขั้นบันได + คันหญ้าแฝก + ฝายชะลอนน้ำ</w:t>
      </w:r>
    </w:p>
    <w:p>
      <w:pPr>
        <w:spacing w:after="40" w:before="40" w:line="312"/>
        <w:ind w:left="72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• </w:t>
      </w:r>
      <w:r>
        <w:rPr>
          <w:rFonts w:ascii="Times New Roman" w:eastAsia="SimSun"/>
          <w:color w:val="000000"/>
          <w:sz w:val="24"/>
          <w:szCs w:val="24"/>
        </w:rPr>
        <w:t xml:space="preserve">ลดการเกิดดินโคลนถล่ม น้ำป่าไหลหลอก และอทุกภัย</w:t>
      </w:r>
    </w:p>
    <w:p>
      <w:pPr>
        <w:spacing w:after="40" w:before="40" w:line="312"/>
        <w:ind w:left="72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• </w:t>
      </w:r>
      <w:r>
        <w:rPr>
          <w:rFonts w:ascii="Times New Roman" w:eastAsia="SimSun"/>
          <w:color w:val="000000"/>
          <w:sz w:val="24"/>
          <w:szCs w:val="24"/>
        </w:rPr>
        <w:t xml:space="preserve">กักเก็บคาร์บอนในดิน ตะกอนดิน และ Biochar รวม 40,940 ตัน = 2,100 tCO₂e</w:t>
      </w:r>
    </w:p>
    <w:p>
      <w:pPr>
        <w:spacing w:after="40" w:before="40" w:line="312"/>
        <w:ind w:left="72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• </w:t>
      </w:r>
      <w:r>
        <w:rPr>
          <w:rFonts w:ascii="Times New Roman" w:eastAsia="SimSun"/>
          <w:color w:val="000000"/>
          <w:sz w:val="24"/>
          <w:szCs w:val="24"/>
        </w:rPr>
        <w:t xml:space="preserve">ช่วยปรับสภาพแวดล้อมให้ยื่งยืน</w:t>
      </w:r>
    </w:p>
    <w:p>
      <w:r>
        <w:br w:type="page"/>
      </w:r>
    </w:p>
    <w:p>
      <w:pPr>
        <w:pStyle w:val="Heading1"/>
        <w:spacing w:after="200" w:before="400" w:line="312"/>
        <w:jc w:val="center"/>
      </w:pPr>
      <w:r>
        <w:rPr>
          <w:rFonts w:ascii="Arial" w:eastAsia="SimHei"/>
          <w:b/>
          <w:bCs/>
          <w:color w:val="000000"/>
          <w:sz w:val="32"/>
          <w:szCs w:val="32"/>
        </w:rPr>
        <w:t xml:space="preserve">บทที่ 8  แผนงานและงบประมาณ</w:t>
      </w:r>
    </w:p>
    <w:p>
      <w:pPr>
        <w:keepNext/>
      </w:pPr>
      <w:r>
        <w:rPr>
          <w:rFonts w:ascii="Times New Roman" w:eastAsia="SimSun"/>
          <w:b/>
          <w:bCs/>
          <w:sz w:val="21"/>
          <w:szCs w:val="21"/>
        </w:rPr>
        <w:t xml:space="preserve">ตาราง 4  งบประมาณโครงการ 10 ปี</w:t>
      </w:r>
    </w:p>
    <w:tbl>
      <w:tblPr>
        <w:tblW w:type="pct" w:w="5000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รายการ</w:t>
            </w:r>
          </w:p>
        </w:tc>
        <w:tc>
          <w:tcPr>
            <w:tcW w:type="pct" w:w="16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จำนวน (THB)</w:t>
            </w:r>
          </w:p>
        </w:tc>
        <w:tc>
          <w:tcPr>
            <w:tcW w:type="pct" w:w="16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tcW w:type="pct" w:w="16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CapEx (ลงทุนครั้งแรก)</w:t>
            </w:r>
          </w:p>
        </w:tc>
        <w:tc>
          <w:tcPr>
            <w:tcW w:type="pct" w:w="16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562,500</w:t>
            </w:r>
          </w:p>
        </w:tc>
        <w:tc>
          <w:tcPr>
            <w:tcW w:type="pct" w:w="16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4,500/ha × 125 ha</w:t>
            </w:r>
          </w:p>
        </w:tc>
      </w:tr>
      <w:tr>
        <w:trPr>
          <w:cantSplit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OpEx (ค่าดำเนิญรายปี)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100,000/ปี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800/ha/yr × 125 ha</w:t>
            </w:r>
          </w:p>
        </w:tc>
      </w:tr>
      <w:tr>
        <w:trPr>
          <w:cantSplit/>
        </w:trPr>
        <w:tc>
          <w:tcPr>
            <w:tcW w:type="pct" w:w="16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ค่าตรวจรอบ 1 (Validation)</w:t>
            </w:r>
          </w:p>
        </w:tc>
        <w:tc>
          <w:tcPr>
            <w:tcW w:type="pct" w:w="16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150,000</w:t>
            </w:r>
          </w:p>
        </w:tc>
        <w:tc>
          <w:tcPr>
            <w:tcW w:type="pct" w:w="16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เต็มรอบ ไม่มี dMRV</w:t>
            </w:r>
          </w:p>
        </w:tc>
      </w:tr>
      <w:tr>
        <w:trPr>
          <w:cantSplit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ค่าตรวจรอบ 2-3 (Verification)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75,000/รอบ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ลด 50% จาก dMRV</w:t>
            </w:r>
          </w:p>
        </w:tc>
      </w:tr>
      <w:tr>
        <w:trPr>
          <w:cantSplit/>
        </w:trPr>
        <w:tc>
          <w:tcPr>
            <w:tcW w:type="pct" w:w="16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รายได้จากคาร์บอนเครดิต</w:t>
            </w:r>
          </w:p>
        </w:tc>
        <w:tc>
          <w:tcPr>
            <w:tcW w:type="pct" w:w="16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2,100,000</w:t>
            </w:r>
          </w:p>
        </w:tc>
        <w:tc>
          <w:tcPr>
            <w:tcW w:type="pct" w:w="16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2,100 tCO₂e × 350 THB (+ความน่าเชื่อ 10%)</w:t>
            </w:r>
          </w:p>
        </w:tc>
      </w:tr>
    </w:tbl>
    <w:p>
      <w:r>
        <w:br w:type="page"/>
      </w:r>
    </w:p>
    <w:p>
      <w:pPr>
        <w:pStyle w:val="Heading1"/>
        <w:spacing w:after="200" w:before="400" w:line="312"/>
        <w:jc w:val="center"/>
      </w:pPr>
      <w:r>
        <w:rPr>
          <w:rFonts w:ascii="Arial" w:eastAsia="SimHei"/>
          <w:b/>
          <w:bCs/>
          <w:color w:val="000000"/>
          <w:sz w:val="32"/>
          <w:szCs w:val="32"/>
        </w:rPr>
        <w:t xml:space="preserve">บทที่ 9  ความยั่งยืนและการขยายผล</w:t>
      </w:r>
    </w:p>
    <w:p>
      <w:pPr>
        <w:spacing w:after="60" w:before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โครงการนี้มีความยั่งยืนในองการสางผลดังนี้:</w:t>
      </w:r>
    </w:p>
    <w:p>
      <w:pPr>
        <w:spacing w:after="40" w:before="40" w:line="312"/>
        <w:ind w:left="72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• </w:t>
      </w:r>
      <w:r>
        <w:rPr>
          <w:rFonts w:ascii="Times New Roman" w:eastAsia="SimSun"/>
          <w:color w:val="000000"/>
          <w:sz w:val="24"/>
          <w:szCs w:val="24"/>
        </w:rPr>
        <w:t xml:space="preserve">สามารถขยายผลไปยังจังหวัดอื่นในภาคเหนือ โดยใช้ระบบ dMRV และการออกแบบแปลงดักตะกอนดินแบบเดียวกัน</w:t>
      </w:r>
    </w:p>
    <w:p>
      <w:pPr>
        <w:spacing w:after="40" w:before="40" w:line="312"/>
        <w:ind w:left="72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• </w:t>
      </w:r>
      <w:r>
        <w:rPr>
          <w:rFonts w:ascii="Times New Roman" w:eastAsia="SimSun"/>
          <w:color w:val="000000"/>
          <w:sz w:val="24"/>
          <w:szCs w:val="24"/>
        </w:rPr>
        <w:t xml:space="preserve">ระบบ IoT + กฎออโตแมติชันสามารถขยายไปแปลงอื่นได้โดยง่าย</w:t>
      </w:r>
    </w:p>
    <w:p>
      <w:pPr>
        <w:spacing w:after="40" w:before="40" w:line="312"/>
        <w:ind w:left="72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• </w:t>
      </w:r>
      <w:r>
        <w:rPr>
          <w:rFonts w:ascii="Times New Roman" w:eastAsia="SimSun"/>
          <w:color w:val="000000"/>
          <w:sz w:val="24"/>
          <w:szCs w:val="24"/>
        </w:rPr>
        <w:t xml:space="preserve">การใช้ Biochar สามารถปรับใช้กับพืชผลอื่นได้ ไม่จำกัดเฉพาะชาหรือกาแฟ</w:t>
      </w:r>
    </w:p>
    <w:p>
      <w:pPr>
        <w:spacing w:after="40" w:before="40" w:line="312"/>
        <w:ind w:left="72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• </w:t>
      </w:r>
      <w:r>
        <w:rPr>
          <w:rFonts w:ascii="Times New Roman" w:eastAsia="SimSun"/>
          <w:color w:val="000000"/>
          <w:sz w:val="24"/>
          <w:szCs w:val="24"/>
        </w:rPr>
        <w:t xml:space="preserve">การรวมกลุ่ม (Aggregation) ช่วยลดค่าต่อไร่ได้มากขึ้น เมื่อรวมหลายแปลง</w:t>
      </w:r>
    </w:p>
    <w:p>
      <w:pPr>
        <w:pStyle w:val="Heading2"/>
        <w:spacing w:after="120" w:before="300" w:line="312"/>
      </w:pPr>
      <w:r>
        <w:rPr>
          <w:rFonts w:ascii="Arial" w:eastAsia="SimHei"/>
          <w:b/>
          <w:bCs/>
          <w:color w:val="000000"/>
          <w:sz w:val="30"/>
          <w:szCs w:val="30"/>
        </w:rPr>
        <w:t xml:space="preserve">9.1  แผนการขยายผล (Roadmap)</w:t>
      </w:r>
    </w:p>
    <w:p>
      <w:pPr>
        <w:keepNext/>
      </w:pPr>
      <w:r>
        <w:rPr>
          <w:rFonts w:ascii="Times New Roman" w:eastAsia="SimSun"/>
          <w:b/>
          <w:bCs/>
          <w:sz w:val="21"/>
          <w:szCs w:val="21"/>
        </w:rPr>
        <w:t xml:space="preserve">ตาราง 5  แผนการพัฒนา 5 ระยะ</w:t>
      </w:r>
    </w:p>
    <w:tbl>
      <w:tblPr>
        <w:tblW w:type="pct" w:w="5000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ระยะ</w:t>
            </w:r>
          </w:p>
        </w:tc>
        <w:tc>
          <w:tcPr>
            <w:tcW w:type="pct" w:w="16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ระยะเวลา</w:t>
            </w:r>
          </w:p>
        </w:tc>
        <w:tc>
          <w:tcPr>
            <w:tcW w:type="pct" w:w="16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สิ่งส่งมอบ</w:t>
            </w:r>
          </w:p>
        </w:tc>
      </w:tr>
      <w:tr>
        <w:trPr>
          <w:cantSplit/>
        </w:trPr>
        <w:tc>
          <w:tcPr>
            <w:tcW w:type="pct" w:w="16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Phase 1 - MVP</w:t>
            </w:r>
          </w:p>
        </w:tc>
        <w:tc>
          <w:tcPr>
            <w:tcW w:type="pct" w:w="16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 เดือน</w:t>
            </w:r>
          </w:p>
        </w:tc>
        <w:tc>
          <w:tcPr>
            <w:tcW w:type="pct" w:w="16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ลงทะเบียนแปลง, บันทึกดิน, เครื่องคำนวณ SOC, แดชบอร์ด TH/EN</w:t>
            </w:r>
          </w:p>
        </w:tc>
      </w:tr>
      <w:tr>
        <w:trPr>
          <w:cantSplit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Phase 2 - Credit Engine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 เดือน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กฎ 4 มาตรฐาน, uncertainty, NPV/IRR</w:t>
            </w:r>
          </w:p>
        </w:tc>
      </w:tr>
      <w:tr>
        <w:trPr>
          <w:cantSplit/>
        </w:trPr>
        <w:tc>
          <w:tcPr>
            <w:tcW w:type="pct" w:w="16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Phase 3 - Remote Sensing</w:t>
            </w:r>
          </w:p>
        </w:tc>
        <w:tc>
          <w:tcPr>
            <w:tcW w:type="pct" w:w="16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4 เดือน</w:t>
            </w:r>
          </w:p>
        </w:tc>
        <w:tc>
          <w:tcPr>
            <w:tcW w:type="pct" w:w="16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NDVI, DEM, คำนวณตะกอนอัตโนมัติ</w:t>
            </w:r>
          </w:p>
        </w:tc>
      </w:tr>
      <w:tr>
        <w:trPr>
          <w:cantSplit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Phase 4 - Verification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 เดือน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ชองทาง VVB, ส่ง PDD, audit hash chain</w:t>
            </w:r>
          </w:p>
        </w:tc>
      </w:tr>
      <w:tr>
        <w:trPr>
          <w:cantSplit/>
        </w:trPr>
        <w:tc>
          <w:tcPr>
            <w:tcW w:type="pct" w:w="16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Phase 5 - Scale</w:t>
            </w:r>
          </w:p>
        </w:tc>
        <w:tc>
          <w:tcPr>
            <w:tcW w:type="pct" w:w="16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ต่อเนื่อง</w:t>
            </w:r>
          </w:p>
        </w:tc>
        <w:tc>
          <w:tcPr>
            <w:tcW w:type="pct" w:w="16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Aggregation mode, เชื่อมตลาด FTIX/Verra</w:t>
            </w:r>
          </w:p>
        </w:tc>
      </w:tr>
    </w:tbl>
    <w:p>
      <w:r>
        <w:br w:type="page"/>
      </w:r>
    </w:p>
    <w:p>
      <w:pPr>
        <w:pStyle w:val="Heading1"/>
        <w:spacing w:after="200" w:before="400" w:line="312"/>
        <w:jc w:val="center"/>
      </w:pPr>
      <w:r>
        <w:rPr>
          <w:rFonts w:ascii="Arial" w:eastAsia="SimHei"/>
          <w:b/>
          <w:bCs/>
          <w:color w:val="000000"/>
          <w:sz w:val="32"/>
          <w:szCs w:val="32"/>
        </w:rPr>
        <w:t xml:space="preserve">บทที่ 10  ข้อพิจารณาและข้อจำกัด</w:t>
      </w:r>
    </w:p>
    <w:p>
      <w:pPr>
        <w:spacing w:after="40" w:before="40" w:line="312"/>
        <w:ind w:left="72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• </w:t>
      </w:r>
      <w:r>
        <w:rPr>
          <w:rFonts w:ascii="Times New Roman" w:eastAsia="SimSun"/>
          <w:color w:val="000000"/>
          <w:sz w:val="24"/>
          <w:szCs w:val="24"/>
        </w:rPr>
        <w:t xml:space="preserve">ค่าการปล่อย (EF) ใช้ Tier 1 ของ IPCC ควรแทนด้วย Tier 2 เฉพาะพื้นที่เมื่อมีข้อมูล</w:t>
      </w:r>
    </w:p>
    <w:p>
      <w:pPr>
        <w:spacing w:after="40" w:before="40" w:line="312"/>
        <w:ind w:left="72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• </w:t>
      </w:r>
      <w:r>
        <w:rPr>
          <w:rFonts w:ascii="Times New Roman" w:eastAsia="SimSun"/>
          <w:color w:val="000000"/>
          <w:sz w:val="24"/>
          <w:szCs w:val="24"/>
        </w:rPr>
        <w:t xml:space="preserve">ระบบ T-VER สำหรับ SOC ต้องตรวจสอบกับ TGO ก่อนนำไปใช้</w:t>
      </w:r>
    </w:p>
    <w:p>
      <w:pPr>
        <w:spacing w:after="40" w:before="40" w:line="312"/>
        <w:ind w:left="72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• </w:t>
      </w:r>
      <w:r>
        <w:rPr>
          <w:rFonts w:ascii="Times New Roman" w:eastAsia="SimSun"/>
          <w:color w:val="000000"/>
          <w:sz w:val="24"/>
          <w:szCs w:val="24"/>
        </w:rPr>
        <w:t xml:space="preserve">การวัด SOC มีความแปรปรวนสูง ต้องบังคับจำนวนจุดเก็บตัวอย่างและความไม่แน่นอน</w:t>
      </w:r>
    </w:p>
    <w:p>
      <w:pPr>
        <w:spacing w:after="40" w:before="40" w:line="312"/>
        <w:ind w:left="72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• </w:t>
      </w:r>
      <w:r>
        <w:rPr>
          <w:rFonts w:ascii="Times New Roman" w:eastAsia="SimSun"/>
          <w:color w:val="000000"/>
          <w:sz w:val="24"/>
          <w:szCs w:val="24"/>
        </w:rPr>
        <w:t xml:space="preserve">ความถาวรความน่าเชื่อถือ: หากเกษตรกรรมถอนโครงการ คาร์บอนจะต้องมีการบังคับและ buffer pool</w:t>
      </w:r>
    </w:p>
    <w:p>
      <w:pPr>
        <w:spacing w:after="40" w:before="40" w:line="312"/>
        <w:ind w:left="720" w:hanging="360"/>
      </w:pPr>
      <w:r>
        <w:rPr>
          <w:rFonts w:ascii="Times New Roman" w:eastAsia="SimSun"/>
          <w:color w:val="000000"/>
          <w:sz w:val="24"/>
          <w:szCs w:val="24"/>
        </w:rPr>
        <w:t xml:space="preserve">• </w:t>
      </w:r>
      <w:r>
        <w:rPr>
          <w:rFonts w:ascii="Times New Roman" w:eastAsia="SimSun"/>
          <w:color w:val="000000"/>
          <w:sz w:val="24"/>
          <w:szCs w:val="24"/>
        </w:rPr>
        <w:t xml:space="preserve">ผลลัพธิ์จากระบบเป็นการประมาณการ ไม่ใช่เครดิตทีผ่านการรับรอง</w:t>
      </w:r>
    </w:p>
    <w:p>
      <w:pPr>
        <w:spacing w:before="600"/>
      </w:pPr>
    </w:p>
    <w:p>
      <w:pPr>
        <w:pBdr>
          <w:top w:val="single" w:color="D4875A" w:sz="6" w:space="10"/>
        </w:pBdr>
        <w:spacing w:after="200" w:before="400"/>
        <w:jc w:val="center"/>
      </w:pPr>
    </w:p>
    <w:p>
      <w:pPr>
        <w:jc w:val="center"/>
      </w:pPr>
      <w:r>
        <w:rPr>
          <w:rFonts w:ascii="Times New Roman" w:eastAsia="SimSun"/>
          <w:b/>
          <w:bCs/>
          <w:color w:val="606060"/>
          <w:sz w:val="21"/>
          <w:szCs w:val="21"/>
        </w:rPr>
        <w:t xml:space="preserve">เอกสารโครงการ SedimentCarbon dMRV</w:t>
      </w:r>
    </w:p>
    <w:p>
      <w:pPr>
        <w:jc w:val="center"/>
      </w:pPr>
      <w:r>
        <w:rPr>
          <w:rFonts w:ascii="Times New Roman" w:eastAsia="SimSun"/>
          <w:color w:val="808080"/>
          <w:sz w:val="18"/>
          <w:szCs w:val="18"/>
        </w:rPr>
        <w:t xml:space="preserve">Digital MRV for Sediment-Trap Agriculture Carbon Credit</w:t>
      </w:r>
    </w:p>
    <w:p>
      <w:pPr>
        <w:jc w:val="center"/>
      </w:pPr>
      <w:r>
        <w:rPr>
          <w:rFonts w:ascii="Times New Roman" w:eastAsia="SimSun"/>
          <w:color w:val="808080"/>
          <w:sz w:val="18"/>
          <w:szCs w:val="18"/>
        </w:rPr>
        <w:t xml:space="preserve">รองรับ T-VER / VCS / Gold Standard / ISO 14064-2</w:t>
      </w:r>
    </w:p>
    <w:sectPr>
      <w:headerReference w:type="default" r:id="rId6"/>
      <w:footerReference w:type="default" r:id="rId7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90909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SimSun"/>
        <w:color w:val="909090"/>
        <w:sz w:val="18"/>
        <w:szCs w:val="18"/>
      </w:rPr>
      <w:t xml:space="preserve"> / </w:t>
    </w:r>
    <w:r>
      <w:rPr>
        <w:rFonts w:ascii="Times New Roman" w:eastAsia="SimSun"/>
        <w:color w:val="90909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eastAsia="SimSun"/>
        <w:color w:val="909090"/>
        <w:sz w:val="18"/>
        <w:szCs w:val="18"/>
      </w:rPr>
      <w:t xml:space="preserve">DMRV — โครงการคาร์บอนเครดิตเกษตรดักตะกอนดิน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2026-10-05T03:50:18.765Z</dcterms:created>
  <dcterms:modified xsi:type="dcterms:W3CDTF">2026-10-05T03:50:18.765Z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