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Arial" w:cs="Arial" w:eastAsia="Arial" w:hAnsi="Arial"/>
          <w:b/>
          <w:bCs/>
          <w:i w:val="false"/>
          <w:iCs w:val="false"/>
          <w:color w:val="A32D2D"/>
          <w:sz w:val="16"/>
          <w:szCs w:val="16"/>
        </w:rPr>
        <w:t xml:space="preserve">CONFIDENTIEL — À des fins d’approbation et de collaboration uniquement</w:t>
      </w:r>
    </w:p>
    <w:p>
      <w:pPr>
        <w:spacing w:after="60" w:before="0" w:line="276"/>
        <w:jc w:val="left"/>
      </w:pPr>
    </w:p>
    <w:p>
      <w:pPr>
        <w:spacing w:after="60" w:before="0" w:line="276"/>
        <w:jc w:val="center"/>
      </w:pPr>
      <w:r>
        <w:rPr>
          <w:rFonts w:ascii="Arial" w:cs="Arial" w:eastAsia="Arial" w:hAnsi="Arial"/>
          <w:b/>
          <w:bCs/>
          <w:i w:val="false"/>
          <w:iCs w:val="false"/>
          <w:color w:val="0C447C"/>
          <w:sz w:val="32"/>
          <w:szCs w:val="32"/>
        </w:rPr>
        <w:t xml:space="preserve">RECLAIMING THE GREEN GOLD</w:t>
      </w:r>
    </w:p>
    <w:p>
      <w:pPr>
        <w:spacing w:after="100" w:before="0" w:line="276"/>
        <w:jc w:val="center"/>
      </w:pPr>
      <w:r>
        <w:rPr>
          <w:rFonts w:ascii="Arial" w:cs="Arial" w:eastAsia="Arial" w:hAnsi="Arial"/>
          <w:b w:val="false"/>
          <w:bCs w:val="false"/>
          <w:i/>
          <w:iCs/>
          <w:color w:val="444441"/>
          <w:sz w:val="20"/>
          <w:szCs w:val="20"/>
        </w:rPr>
        <w:t xml:space="preserve">Cannabis au Carrefour de la Santé, de la Justice et du Développement Durable</w:t>
      </w:r>
    </w:p>
    <w:p>
      <w:pPr>
        <w:pBdr>
          <w:bottom w:val="single" w:color="185FA5" w:sz="8"/>
        </w:pBdr>
        <w:spacing w:after="100" w:before="0"/>
      </w:pPr>
      <w:r>
        <w:rPr>
          <w:rFonts w:ascii="Arial" w:cs="Arial" w:eastAsia="Arial" w:hAnsi="Arial"/>
          <w:b w:val="false"/>
          <w:bCs w:val="false"/>
          <w:i w:val="false"/>
          <w:iCs w:val="false"/>
          <w:color w:val="1A1A1A"/>
          <w:sz w:val="4"/>
          <w:szCs w:val="4"/>
        </w:rPr>
        <w:t xml:space="preserve"/>
      </w:r>
    </w:p>
    <w:p>
      <w:pPr>
        <w:spacing w:after="120" w:before="0" w:line="276"/>
        <w:jc w:val="center"/>
      </w:pPr>
      <w:r>
        <w:rPr>
          <w:rFonts w:ascii="Arial" w:cs="Arial" w:eastAsia="Arial" w:hAnsi="Arial"/>
          <w:b/>
          <w:bCs/>
          <w:i w:val="false"/>
          <w:iCs w:val="false"/>
          <w:color w:val="185FA5"/>
          <w:sz w:val="28"/>
          <w:szCs w:val="28"/>
        </w:rPr>
        <w:t xml:space="preserve">RÉSUMÉ EXÉCUTIF</w:t>
      </w:r>
    </w:p>
    <w:p>
      <w:pPr>
        <w:spacing w:after="80" w:before="0" w:line="276"/>
        <w:jc w:val="left"/>
      </w:pPr>
    </w:p>
    <w:p>
      <w:pPr>
        <w:spacing w:after="140" w:before="0" w:line="288"/>
        <w:jc w:val="both"/>
      </w:pPr>
      <w:r>
        <w:rPr>
          <w:rFonts w:ascii="Arial" w:cs="Arial" w:eastAsia="Arial" w:hAnsi="Arial"/>
          <w:b w:val="false"/>
          <w:bCs w:val="false"/>
          <w:i w:val="false"/>
          <w:iCs w:val="false"/>
          <w:color w:val="1A1A1A"/>
          <w:sz w:val="20"/>
          <w:szCs w:val="20"/>
        </w:rPr>
        <w:t xml:space="preserve">Ce résumé exécutif présente de manière synthétique les arguments centraux, le cadre analytique et les instruments pratiques développés dans « Reclaiming the Green Gold : Cannabis au Carrefour de la Santé, de la Justice et du Développement Durable ». Il est destiné aux partenaires institutionnels—agences multilatérales, institutions de financement du développement, organisations régionales, fondations philanthropiques et réseaux de politique publique—dont les mandats couvrent la santé publique, le développement durable, la gouvernance économique et la justice sociale. Nous vous invitons à un engagement critique, à un soutien formel et à une collaboration active pour traduire cet ouvrage en impact politique concret.</w:t>
      </w:r>
    </w:p>
    <w:p>
      <w:pPr>
        <w:spacing w:after="60" w:before="0" w:line="276"/>
        <w:jc w:val="left"/>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Auteur principal</w:t>
            </w:r>
          </w:p>
        </w:tc>
        <w:tc>
          <w:tcPr>
            <w:tcW w:type="dxa" w:w="4535"/>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Auteur co-signataire</w:t>
            </w:r>
          </w:p>
        </w:tc>
      </w:tr>
      <w:tr>
        <w:tc>
          <w:tcPr>
            <w:tcW w:type="dxa" w:w="4535"/>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Dr Soobaschand (Sunil) Sweenarain
Economiste des ressources naturelles</w:t>
            </w:r>
          </w:p>
        </w:tc>
        <w:tc>
          <w:tcPr>
            <w:tcW w:type="dxa" w:w="4535"/>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Sunny Sweenarain
Spécialiste du cannabis médical</w:t>
            </w:r>
          </w:p>
        </w:tc>
      </w:tr>
      <w:tr>
        <w:tc>
          <w:tcPr>
            <w:tcW w:type="dxa" w:w="4535"/>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sweenmru@gmail.com
sunilmru2609@outlook.com</w:t>
            </w:r>
          </w:p>
        </w:tc>
        <w:tc>
          <w:tcPr>
            <w:tcW w:type="dxa" w:w="4535"/>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WhatsApp : +230 5255 3890</w:t>
            </w:r>
          </w:p>
        </w:tc>
      </w:tr>
      <w:tr>
        <w:tc>
          <w:tcPr>
            <w:tcW w:type="dxa" w:w="4535"/>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Site web : ReclaimingtheGreenGold.com (en construction)</w:t>
            </w:r>
          </w:p>
        </w:tc>
        <w:tc>
          <w:tcPr>
            <w:tcW w:type="dxa" w:w="4535"/>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Mauritius, Mai 2026</w:t>
            </w:r>
          </w:p>
        </w:tc>
      </w:tr>
    </w:tbl>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2.  Présentation des Auteurs</w:t>
      </w:r>
    </w:p>
    <w:p>
      <w:pPr>
        <w:spacing w:after="60" w:before="160" w:line="276"/>
        <w:jc w:val="left"/>
      </w:pPr>
      <w:r>
        <w:rPr>
          <w:rFonts w:ascii="Arial" w:cs="Arial" w:eastAsia="Arial" w:hAnsi="Arial"/>
          <w:b/>
          <w:bCs/>
          <w:i w:val="false"/>
          <w:iCs w:val="false"/>
          <w:color w:val="0C447C"/>
          <w:sz w:val="20"/>
          <w:szCs w:val="20"/>
        </w:rPr>
        <w:t xml:space="preserve">Dr Soobaschand (Sunil) Sweenarain</w:t>
      </w:r>
    </w:p>
    <w:p>
      <w:pPr>
        <w:spacing w:after="140" w:before="0" w:line="288"/>
        <w:jc w:val="both"/>
      </w:pPr>
      <w:r>
        <w:rPr>
          <w:rFonts w:ascii="Arial" w:cs="Arial" w:eastAsia="Arial" w:hAnsi="Arial"/>
          <w:b w:val="false"/>
          <w:bCs w:val="false"/>
          <w:i w:val="false"/>
          <w:iCs w:val="false"/>
          <w:color w:val="1A1A1A"/>
          <w:sz w:val="20"/>
          <w:szCs w:val="20"/>
        </w:rPr>
        <w:t xml:space="preserve">est un économiste senior des ressources naturelles, fort de plus de trois décennies d’expérience internationale dans les domaines du développement durable, de la gestion des ressources renouvelables, de la gouvernance économique et du conseil en politiques publiques. Né et élevé à l’Île Maurice, il a centré sa carrière principalement sur le continent africain, où il a dirigé et conseillé des programmes complexes en matière de gestion des ressources, de coopération régionale et d’intégration économique.</w:t>
      </w:r>
    </w:p>
    <w:p>
      <w:pPr>
        <w:spacing w:after="140" w:before="0" w:line="288"/>
        <w:jc w:val="both"/>
      </w:pPr>
      <w:r>
        <w:rPr>
          <w:rFonts w:ascii="Arial" w:cs="Arial" w:eastAsia="Arial" w:hAnsi="Arial"/>
          <w:b w:val="false"/>
          <w:bCs w:val="false"/>
          <w:i w:val="false"/>
          <w:iCs w:val="false"/>
          <w:color w:val="1A1A1A"/>
          <w:sz w:val="20"/>
          <w:szCs w:val="20"/>
        </w:rPr>
        <w:t xml:space="preserve">Ancré dans les principes mondiaux de durabilité portés par le paradigme de l’économie bleue-verte, le Dr Sweenarain a apporté son expertise dans la conception de projets à grande échelle, le renforcement des capacités institutionnelles et humaines, ainsi que le conseil stratégique en matière de politique publique. Il a travaillé étroitement avec des gouvernements, des organisations régionales et des partenaires internationaux, contribuant à la création de valeur partagée aux niveaux national, régional et mondial. Il est l’auteur de nombreux rapports techniques et stratégiques.</w:t>
      </w:r>
    </w:p>
    <w:p>
      <w:pPr>
        <w:spacing w:after="140" w:before="0" w:line="288"/>
        <w:jc w:val="both"/>
      </w:pPr>
      <w:r>
        <w:rPr>
          <w:rFonts w:ascii="Arial" w:cs="Arial" w:eastAsia="Arial" w:hAnsi="Arial"/>
          <w:b w:val="false"/>
          <w:bCs w:val="false"/>
          <w:i w:val="false"/>
          <w:iCs w:val="false"/>
          <w:color w:val="1A1A1A"/>
          <w:sz w:val="20"/>
          <w:szCs w:val="20"/>
        </w:rPr>
        <w:t xml:space="preserve">Cet ouvrage reflète l’engagement du Dr Sweenarain envers l’analyse systémique, la conception de gouvernance et les trajectoires de développement, mis en dialogue avec les débats sur la réglementation du cannabis, les transitions vers la bio-économie et la réforme des politiques mondiales. Il positionne le cannabis comme un cas test de développement inclusif, de durabilité et de transformation politique responsable à travers diverses réalités socio-écologiques.</w:t>
      </w:r>
    </w:p>
    <w:p>
      <w:pPr>
        <w:spacing w:after="60" w:before="160" w:line="276"/>
        <w:jc w:val="left"/>
      </w:pPr>
      <w:r>
        <w:rPr>
          <w:rFonts w:ascii="Arial" w:cs="Arial" w:eastAsia="Arial" w:hAnsi="Arial"/>
          <w:b/>
          <w:bCs/>
          <w:i w:val="false"/>
          <w:iCs w:val="false"/>
          <w:color w:val="0C447C"/>
          <w:sz w:val="20"/>
          <w:szCs w:val="20"/>
        </w:rPr>
        <w:t xml:space="preserve">Sunny Sweenarain</w:t>
      </w:r>
    </w:p>
    <w:p>
      <w:pPr>
        <w:spacing w:after="140" w:before="0" w:line="288"/>
        <w:jc w:val="both"/>
      </w:pPr>
      <w:r>
        <w:rPr>
          <w:rFonts w:ascii="Arial" w:cs="Arial" w:eastAsia="Arial" w:hAnsi="Arial"/>
          <w:b w:val="false"/>
          <w:bCs w:val="false"/>
          <w:i w:val="false"/>
          <w:iCs w:val="false"/>
          <w:color w:val="1A1A1A"/>
          <w:sz w:val="20"/>
          <w:szCs w:val="20"/>
        </w:rPr>
        <w:t xml:space="preserve">est spécialiste du cannabis médical, chercheur et consultant international dont les travaux couvrent les dimensions cliniques, humanitaires, culturelles et éthiques du cannabis médical. Il a étudié la science du cannabis au Canada, ancrant sa pratique dans des connaissances médicales fondées sur des données probantes et dans l’exposition à des contextes réglementaires avancés. Sa perspective a été forgée par plus de dix ans de travail dans divers États en développement à travers le monde.</w:t>
      </w:r>
    </w:p>
    <w:p>
      <w:pPr>
        <w:spacing w:after="140" w:before="0" w:line="288"/>
        <w:jc w:val="both"/>
      </w:pPr>
      <w:r>
        <w:rPr>
          <w:rFonts w:ascii="Arial" w:cs="Arial" w:eastAsia="Arial" w:hAnsi="Arial"/>
          <w:b w:val="false"/>
          <w:bCs w:val="false"/>
          <w:i w:val="false"/>
          <w:iCs w:val="false"/>
          <w:color w:val="1A1A1A"/>
          <w:sz w:val="20"/>
          <w:szCs w:val="20"/>
        </w:rPr>
        <w:t xml:space="preserve">Le travail de Sunny est centré sur les applications médicales orientées vers le patient, l’interprétation clinique des données probantes et la traduction des connaissances médicales en cadres réglementaires et de pratique responsables. Il s’engage à soutenir les personnes souffrant de maladies chroniques—en intégrant la compréhension clinique avec la réflexion éthique, la compassion et la conscience spirituelle—tout en défendant la dignité du patient, le choix éclairé et la continuité des soins. Il s’engage également avec les dimensions humanitaires et culturelles de la réforme du cannabis, en mettant l’accent sur la prévention des dépendances et l’atténuation des préjudices sociaux.</w:t>
      </w:r>
    </w:p>
    <w:p>
      <w:pPr>
        <w:spacing w:after="140" w:before="0" w:line="288"/>
        <w:jc w:val="both"/>
      </w:pPr>
      <w:r>
        <w:rPr>
          <w:rFonts w:ascii="Arial" w:cs="Arial" w:eastAsia="Arial" w:hAnsi="Arial"/>
          <w:b w:val="false"/>
          <w:bCs w:val="false"/>
          <w:i w:val="false"/>
          <w:iCs w:val="false"/>
          <w:color w:val="1A1A1A"/>
          <w:sz w:val="20"/>
          <w:szCs w:val="20"/>
        </w:rPr>
        <w:t xml:space="preserve">Ensemble, les auteurs apportent une approche intergénérationnelle et interdisciplinaire à cet ouvrage. Leur collaboration allie l’analyse systémique socio-économique et de gouvernance à une compréhension enracinée, clinique, éthique et communautaire—garantissant une approche nuancée, équilibrée et socialement sensible du cannabis à ce moment pivot de la politique et des pratiques mondiales.</w:t>
      </w: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3.  L’Argument Central</w:t>
      </w:r>
    </w:p>
    <w:p>
      <w:pPr>
        <w:spacing w:after="140" w:before="0" w:line="288"/>
        <w:jc w:val="both"/>
      </w:pPr>
      <w:r>
        <w:rPr>
          <w:rFonts w:ascii="Arial" w:cs="Arial" w:eastAsia="Arial" w:hAnsi="Arial"/>
          <w:b w:val="false"/>
          <w:bCs w:val="false"/>
          <w:i w:val="false"/>
          <w:iCs w:val="false"/>
          <w:color w:val="1A1A1A"/>
          <w:sz w:val="20"/>
          <w:szCs w:val="20"/>
        </w:rPr>
        <w:t xml:space="preserve">La thèse centrale de Reclaiming the Green Gold expose pourquoi la réforme du cannabis doit être comprise comme une transition de gouvernance plutôt que comme un choix juridique binaire, pourquoi l’écart entre l’ambition et la réalité institutionnelle constitue le défi déterminant pour les pays en développement, et pourquoi la fenêtre de conception délibérée ne restera pas ouverte indéfiniment.</w:t>
      </w:r>
    </w:p>
    <w:p>
      <w:pPr>
        <w:spacing w:after="80" w:before="200" w:line="276"/>
        <w:jc w:val="left"/>
      </w:pPr>
      <w:r>
        <w:rPr>
          <w:rFonts w:ascii="Arial" w:cs="Arial" w:eastAsia="Arial" w:hAnsi="Arial"/>
          <w:b/>
          <w:bCs/>
          <w:i w:val="false"/>
          <w:iCs w:val="false"/>
          <w:color w:val="185FA5"/>
          <w:sz w:val="22"/>
          <w:szCs w:val="22"/>
        </w:rPr>
        <w:t xml:space="preserve">3.1  Le Cannabis à la Croisée des Chemins</w:t>
      </w:r>
    </w:p>
    <w:p>
      <w:pPr>
        <w:spacing w:after="140" w:before="0" w:line="288"/>
        <w:jc w:val="both"/>
      </w:pPr>
      <w:r>
        <w:rPr>
          <w:rFonts w:ascii="Arial" w:cs="Arial" w:eastAsia="Arial" w:hAnsi="Arial"/>
          <w:b w:val="false"/>
          <w:bCs w:val="false"/>
          <w:i w:val="false"/>
          <w:iCs w:val="false"/>
          <w:color w:val="1A1A1A"/>
          <w:sz w:val="20"/>
          <w:szCs w:val="20"/>
        </w:rPr>
        <w:t xml:space="preserve">La politique du cannabis connaît une profonde transformation mondiale. À travers l’Afrique, les Caraïbes, l’Amérique latine et l’océan Indien, les gouvernements s’éloignent des approches fondées sur la prohibition pour adopter de nouveaux cadres réglementaires. Cette évolution est motivée par des forces convergentes : les avancées de la compréhension scientifique, l’expansion des marchés légaux du cannabis médicinal et du chanvre industriel, et la reconnaissance croissante des coûts sociaux et économiques d’une application punitive.</w:t>
      </w:r>
    </w:p>
    <w:p>
      <w:pPr>
        <w:spacing w:after="140" w:before="0" w:line="288"/>
        <w:jc w:val="both"/>
      </w:pPr>
      <w:r>
        <w:rPr>
          <w:rFonts w:ascii="Arial" w:cs="Arial" w:eastAsia="Arial" w:hAnsi="Arial"/>
          <w:b w:val="false"/>
          <w:bCs w:val="false"/>
          <w:i w:val="false"/>
          <w:iCs w:val="false"/>
          <w:color w:val="1A1A1A"/>
          <w:sz w:val="20"/>
          <w:szCs w:val="20"/>
        </w:rPr>
        <w:t xml:space="preserve">Pourtant, cette transition n’est ni linéaire ni uniforme. Les pays légalisent plus vite qu’ils ne gouvernent. Des licences sont délivrées avant que les laboratoires n’existent. Des cadres d’exportation sont annoncés avant que les systèmes de certification ne soient mis en place. L’écart entre l’ambition législative et la réalité institutionnelle n’est pas un détail mineur—c’est le défi déterminant de cette transition.</w:t>
      </w:r>
    </w:p>
    <w:p>
      <w:pPr>
        <w:spacing w:after="140" w:before="0" w:line="288"/>
        <w:jc w:val="both"/>
      </w:pPr>
      <w:r>
        <w:rPr>
          <w:rFonts w:ascii="Arial" w:cs="Arial" w:eastAsia="Arial" w:hAnsi="Arial"/>
          <w:b w:val="false"/>
          <w:bCs w:val="false"/>
          <w:i w:val="false"/>
          <w:iCs w:val="false"/>
          <w:color w:val="1A1A1A"/>
          <w:sz w:val="20"/>
          <w:szCs w:val="20"/>
        </w:rPr>
        <w:t xml:space="preserve">Pour les pays à revenu faible et intermédiaire (PRFI) et les petits États insulaires en développement (PEID), les enjeux sont particulièrement élevés. Le cannabis offre des perspectives inimaginables il y a dix ans : revitaliser les économies rurales, ancrer la verdisation industrielle par le chanvre, permettre aux petits États de rivaliser sur les marchés médicaux et bien-être à haute valeur ajoutée, et réduire la dépendance aux importations pharmaceutiques onéreuses. Le chanvre industriel, en particulier, s’aligne sur les objectifs de production durable, de résilience climatique et de stratégies d’économie circulaire.</w:t>
      </w:r>
    </w:p>
    <w:p>
      <w:pPr>
        <w:spacing w:after="140" w:before="0" w:line="288"/>
        <w:jc w:val="both"/>
      </w:pPr>
      <w:r>
        <w:rPr>
          <w:rFonts w:ascii="Arial" w:cs="Arial" w:eastAsia="Arial" w:hAnsi="Arial"/>
          <w:b w:val="false"/>
          <w:bCs w:val="false"/>
          <w:i w:val="false"/>
          <w:iCs w:val="false"/>
          <w:color w:val="1A1A1A"/>
          <w:sz w:val="20"/>
          <w:szCs w:val="20"/>
        </w:rPr>
        <w:t xml:space="preserve">Cependant, ces opportunités comportent des risques significatifs. Sans renforcement institutionnel délibéré, les bénéfices de la réforme risquent d’être captés par des acteurs extérieurs bien capitalisés. Les communautés locales et les cultivateurs traditionnels—ceux qui ont supporté les coûts les plus lourds de la prohibition—pourraient demeurer marginalisés. Les pays producteurs pourraient se retrouver confinés à fournir de la biomasse brute pendant que les fonctions à plus haute valeur ajoutée restent concentrées ailleurs. Ce ne sont pas des échecs techniques. Ce sont des injustices distributives.</w:t>
      </w:r>
    </w:p>
    <w:p>
      <w:pPr>
        <w:spacing w:after="80" w:before="200" w:line="276"/>
        <w:jc w:val="left"/>
      </w:pPr>
      <w:r>
        <w:rPr>
          <w:rFonts w:ascii="Arial" w:cs="Arial" w:eastAsia="Arial" w:hAnsi="Arial"/>
          <w:b/>
          <w:bCs/>
          <w:i w:val="false"/>
          <w:iCs w:val="false"/>
          <w:color w:val="185FA5"/>
          <w:sz w:val="22"/>
          <w:szCs w:val="22"/>
        </w:rPr>
        <w:t xml:space="preserve">3.2  Le Déficit de Gouvernance</w:t>
      </w:r>
    </w:p>
    <w:p>
      <w:pPr>
        <w:spacing w:after="140" w:before="0" w:line="288"/>
        <w:jc w:val="both"/>
      </w:pPr>
      <w:r>
        <w:rPr>
          <w:rFonts w:ascii="Arial" w:cs="Arial" w:eastAsia="Arial" w:hAnsi="Arial"/>
          <w:b w:val="false"/>
          <w:bCs w:val="false"/>
          <w:i w:val="false"/>
          <w:iCs w:val="false"/>
          <w:color w:val="1A1A1A"/>
          <w:sz w:val="20"/>
          <w:szCs w:val="20"/>
        </w:rPr>
        <w:t xml:space="preserve">Le problème auquel fait face la réforme du cannabis n’est pas la plante elle-même. C’est la gouvernance. Le travail patient de construction d’institutions, d’alignement des incitations et de conception de politiques honnêtes quant aux capacités réelles des États constitue le fondement dont dépend toute autre ambition.</w:t>
      </w:r>
    </w:p>
    <w:p>
      <w:pPr>
        <w:spacing w:after="140" w:before="0" w:line="288"/>
        <w:jc w:val="both"/>
      </w:pPr>
      <w:r>
        <w:rPr>
          <w:rFonts w:ascii="Arial" w:cs="Arial" w:eastAsia="Arial" w:hAnsi="Arial"/>
          <w:b w:val="false"/>
          <w:bCs w:val="false"/>
          <w:i w:val="false"/>
          <w:iCs w:val="false"/>
          <w:color w:val="1A1A1A"/>
          <w:sz w:val="20"/>
          <w:szCs w:val="20"/>
        </w:rPr>
        <w:t xml:space="preserve">Cet ouvrage est écrit pour ceux qui accomplissent ce travail : les décideurs politiques naviguant dans la réforme avec des ressources limitées, les praticiens du développement renforçant les capacités là où elles font défaut, et les réformateurs de la gouvernance qui comprennent que le changement durable se construit lentement, institutionnellement et de manière inclusive. Son message central tient en une phrase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Message clé : </w:t>
            </w:r>
            <w:r>
              <w:rPr>
                <w:rFonts w:ascii="Arial" w:cs="Arial" w:eastAsia="Arial" w:hAnsi="Arial"/>
                <w:b w:val="false"/>
                <w:bCs w:val="false"/>
                <w:i w:val="false"/>
                <w:iCs w:val="false"/>
                <w:color w:val="444441"/>
                <w:sz w:val="19"/>
                <w:szCs w:val="19"/>
              </w:rPr>
              <w:t xml:space="preserve">« La légalisation est la partie facile. La préparation institutionnelle est le vrai travail. »</w:t>
            </w:r>
          </w:p>
        </w:tc>
      </w:tr>
    </w:tbl>
    <w:p>
      <w:pPr>
        <w:spacing w:after="80" w:before="200" w:line="276"/>
        <w:jc w:val="left"/>
      </w:pPr>
      <w:r>
        <w:rPr>
          <w:rFonts w:ascii="Arial" w:cs="Arial" w:eastAsia="Arial" w:hAnsi="Arial"/>
          <w:b/>
          <w:bCs/>
          <w:i w:val="false"/>
          <w:iCs w:val="false"/>
          <w:color w:val="185FA5"/>
          <w:sz w:val="22"/>
          <w:szCs w:val="22"/>
        </w:rPr>
        <w:t xml:space="preserve">3.3  La Thèse Centrale</w:t>
      </w:r>
    </w:p>
    <w:p>
      <w:pPr>
        <w:spacing w:after="140" w:before="0" w:line="288"/>
        <w:jc w:val="both"/>
      </w:pPr>
      <w:r>
        <w:rPr>
          <w:rFonts w:ascii="Arial" w:cs="Arial" w:eastAsia="Arial" w:hAnsi="Arial"/>
          <w:b w:val="false"/>
          <w:bCs w:val="false"/>
          <w:i w:val="false"/>
          <w:iCs w:val="false"/>
          <w:color w:val="1A1A1A"/>
          <w:sz w:val="20"/>
          <w:szCs w:val="20"/>
        </w:rPr>
        <w:t xml:space="preserve">L’ouvrage défend un argument unique et central : la réforme du cannabis n’est pas un choix juridique binaire. C’est une transition de gouvernance. Les résultats dépendent moins du fait qu’un pays interdise, dépénalise ou légalise, que de la capacité institutionnelle, de la cohérence des politiques et des systèmes d’apprentissage adaptatif qu’il met en œuvre.</w:t>
      </w:r>
    </w:p>
    <w:p>
      <w:pPr>
        <w:spacing w:after="140" w:before="0" w:line="288"/>
        <w:jc w:val="both"/>
      </w:pPr>
      <w:r>
        <w:rPr>
          <w:rFonts w:ascii="Arial" w:cs="Arial" w:eastAsia="Arial" w:hAnsi="Arial"/>
          <w:b w:val="false"/>
          <w:bCs w:val="false"/>
          <w:i w:val="false"/>
          <w:iCs w:val="false"/>
          <w:color w:val="1A1A1A"/>
          <w:sz w:val="20"/>
          <w:szCs w:val="20"/>
        </w:rPr>
        <w:t xml:space="preserve">Ce repositionnement a des implications profondes. Il déplace l’attention du statut juridique vers la performance du système. Il exige que la réforme soit séquencée selon la préparation institutionnelle, et non selon l’opportunisme politique. Il insiste sur le fait que l’inclusion et l’équité ne sont pas des corrections après coup mais des conditions fondamentales de légitimité et de stabilité à long terme du marché. Et il reconnaît que dans un secteur en rapide évolution, les politiques doivent être traitées comme des hypothèses testables—surveillées, évaluées et affinées au fil du temps.</w:t>
      </w: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4.  Le Cadre Analytique</w:t>
      </w:r>
    </w:p>
    <w:p>
      <w:pPr>
        <w:spacing w:after="140" w:before="0" w:line="288"/>
        <w:jc w:val="both"/>
      </w:pPr>
      <w:r>
        <w:rPr>
          <w:rFonts w:ascii="Arial" w:cs="Arial" w:eastAsia="Arial" w:hAnsi="Arial"/>
          <w:b w:val="false"/>
          <w:bCs w:val="false"/>
          <w:i w:val="false"/>
          <w:iCs w:val="false"/>
          <w:color w:val="1A1A1A"/>
          <w:sz w:val="20"/>
          <w:szCs w:val="20"/>
        </w:rPr>
        <w:t xml:space="preserve">L’analyse de l’ouvrage repose sur trois principes directeurs et est opérationnalisée par un modèle diagnostique à sept couches. Ensemble, ils fournissent une approche structurée pour naviguer dans la complexité de la réforme du cannabis.</w:t>
      </w:r>
    </w:p>
    <w:p>
      <w:pPr>
        <w:spacing w:after="80" w:before="200" w:line="276"/>
        <w:jc w:val="left"/>
      </w:pPr>
      <w:r>
        <w:rPr>
          <w:rFonts w:ascii="Arial" w:cs="Arial" w:eastAsia="Arial" w:hAnsi="Arial"/>
          <w:b/>
          <w:bCs/>
          <w:i w:val="false"/>
          <w:iCs w:val="false"/>
          <w:color w:val="185FA5"/>
          <w:sz w:val="22"/>
          <w:szCs w:val="22"/>
        </w:rPr>
        <w:t xml:space="preserve">4.1  Trois Principes Directeurs</w:t>
      </w:r>
    </w:p>
    <w:p>
      <w:pPr>
        <w:spacing w:after="60" w:before="120" w:line="276"/>
        <w:jc w:val="left"/>
      </w:pPr>
      <w:r>
        <w:rPr>
          <w:rFonts w:ascii="Arial" w:cs="Arial" w:eastAsia="Arial" w:hAnsi="Arial"/>
          <w:b/>
          <w:bCs/>
          <w:i/>
          <w:iCs/>
          <w:color w:val="3B6D11"/>
          <w:sz w:val="20"/>
          <w:szCs w:val="20"/>
        </w:rPr>
        <w:t xml:space="preserve">Différenciation</w:t>
      </w:r>
    </w:p>
    <w:p>
      <w:pPr>
        <w:spacing w:after="140" w:before="0" w:line="288"/>
        <w:jc w:val="both"/>
      </w:pPr>
      <w:r>
        <w:rPr>
          <w:rFonts w:ascii="Arial" w:cs="Arial" w:eastAsia="Arial" w:hAnsi="Arial"/>
          <w:b w:val="false"/>
          <w:bCs w:val="false"/>
          <w:i w:val="false"/>
          <w:iCs w:val="false"/>
          <w:color w:val="1A1A1A"/>
          <w:sz w:val="20"/>
          <w:szCs w:val="20"/>
        </w:rPr>
        <w:t xml:space="preserve">reconnaît que les pays opèrent dans des conditions historiques, économiques et institutionnelles distinctes. Les modèles de politique formulés dans les pays à revenu élevé ne peuvent pas être transplantés dans les pays en développement et les petits États insulaires sans adaptation significative. Ce qui fonctionne au Canada ne s’appliquera pas automatiquement au Cameroun. Ce qui réussit en Uruguay nécessite une réflexion fondamentale avant de pouvoir servir la Jamaïque ou l’Île Maurice. La conception doit être ancrée dans les réalités propres à chaque contexte.</w:t>
      </w:r>
    </w:p>
    <w:p>
      <w:pPr>
        <w:spacing w:after="60" w:before="120" w:line="276"/>
        <w:jc w:val="left"/>
      </w:pPr>
      <w:r>
        <w:rPr>
          <w:rFonts w:ascii="Arial" w:cs="Arial" w:eastAsia="Arial" w:hAnsi="Arial"/>
          <w:b/>
          <w:bCs/>
          <w:i/>
          <w:iCs/>
          <w:color w:val="3B6D11"/>
          <w:sz w:val="20"/>
          <w:szCs w:val="20"/>
        </w:rPr>
        <w:t xml:space="preserve">Préparation Institutionnelle</w:t>
      </w:r>
    </w:p>
    <w:p>
      <w:pPr>
        <w:spacing w:after="140" w:before="0" w:line="288"/>
        <w:jc w:val="both"/>
      </w:pPr>
      <w:r>
        <w:rPr>
          <w:rFonts w:ascii="Arial" w:cs="Arial" w:eastAsia="Arial" w:hAnsi="Arial"/>
          <w:b w:val="false"/>
          <w:bCs w:val="false"/>
          <w:i w:val="false"/>
          <w:iCs w:val="false"/>
          <w:color w:val="1A1A1A"/>
          <w:sz w:val="20"/>
          <w:szCs w:val="20"/>
        </w:rPr>
        <w:t xml:space="preserve">soutient que l’ambition de réforme doit s’aligner sur la capacité administrative. Une politique efficace du cannabis dépend de la capacité à licencier les opérateurs, à surveiller la conformité, à garantir les normes de produits et à coordonner entre secteurs. L’expérience montre que les approches progressives et proportionnées réussissent, tandis que les réformes brutales submerge souvent les systèmes les plus fragiles. L’ambition ne remplace pas la capacité—et dans ce domaine, le coût de cette confusion retombe le plus durement sur les plus vulnérables.</w:t>
      </w:r>
    </w:p>
    <w:p>
      <w:pPr>
        <w:spacing w:after="60" w:before="120" w:line="276"/>
        <w:jc w:val="left"/>
      </w:pPr>
      <w:r>
        <w:rPr>
          <w:rFonts w:ascii="Arial" w:cs="Arial" w:eastAsia="Arial" w:hAnsi="Arial"/>
          <w:b/>
          <w:bCs/>
          <w:i/>
          <w:iCs/>
          <w:color w:val="3B6D11"/>
          <w:sz w:val="20"/>
          <w:szCs w:val="20"/>
        </w:rPr>
        <w:t xml:space="preserve">Gouvernance Adaptative</w:t>
      </w:r>
    </w:p>
    <w:p>
      <w:pPr>
        <w:spacing w:after="140" w:before="0" w:line="288"/>
        <w:jc w:val="both"/>
      </w:pPr>
      <w:r>
        <w:rPr>
          <w:rFonts w:ascii="Arial" w:cs="Arial" w:eastAsia="Arial" w:hAnsi="Arial"/>
          <w:b w:val="false"/>
          <w:bCs w:val="false"/>
          <w:i w:val="false"/>
          <w:iCs w:val="false"/>
          <w:color w:val="1A1A1A"/>
          <w:sz w:val="20"/>
          <w:szCs w:val="20"/>
        </w:rPr>
        <w:t xml:space="preserve">traite la politique non pas comme un règlement fixé à un moment donné, mais comme un processus évolutif de calibration, d’apprentissage et de recalibration face à une incertitude persistante. Aucune juridiction n’a pleinement résolu la gouvernance du cannabis. Celles qui réussissent sont celles qui construisent des systèmes capables d’auto-évaluation honnête et d’adaptation continue.</w:t>
      </w:r>
    </w:p>
    <w:p>
      <w:pPr>
        <w:spacing w:after="80" w:before="200" w:line="276"/>
        <w:jc w:val="left"/>
      </w:pPr>
      <w:r>
        <w:rPr>
          <w:rFonts w:ascii="Arial" w:cs="Arial" w:eastAsia="Arial" w:hAnsi="Arial"/>
          <w:b/>
          <w:bCs/>
          <w:i w:val="false"/>
          <w:iCs w:val="false"/>
          <w:color w:val="185FA5"/>
          <w:sz w:val="22"/>
          <w:szCs w:val="22"/>
        </w:rPr>
        <w:t xml:space="preserve">4.2  Le Modèle de Transition de Gouvernance du Cannabis</w:t>
      </w:r>
    </w:p>
    <w:p>
      <w:pPr>
        <w:spacing w:after="140" w:before="0" w:line="288"/>
        <w:jc w:val="both"/>
      </w:pPr>
      <w:r>
        <w:rPr>
          <w:rFonts w:ascii="Arial" w:cs="Arial" w:eastAsia="Arial" w:hAnsi="Arial"/>
          <w:b w:val="false"/>
          <w:bCs w:val="false"/>
          <w:i w:val="false"/>
          <w:iCs w:val="false"/>
          <w:color w:val="1A1A1A"/>
          <w:sz w:val="20"/>
          <w:szCs w:val="20"/>
        </w:rPr>
        <w:t xml:space="preserve">La principale contribution intellectuelle de l’ouvrage est un cadre diagnostique et stratégique comprenant sept couches de gouvernance interdependantes. Une faiblesse dans une seule couche peut engendrer des effets en cascade qui déstabilisent l’ensemble de la transition. Le modèle fonctionne à la fois comme outil d’évaluation de la préparation à la réforme et comme guide pour le séquençage des investissements en gouvernance.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6168"/>
      </w:tblGrid>
      <w:tr>
        <w:tc>
          <w:tcPr>
            <w:tcW w:type="dxa" w:w="544"/>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Couche</w:t>
            </w:r>
          </w:p>
        </w:tc>
        <w:tc>
          <w:tcPr>
            <w:tcW w:type="dxa" w:w="2358"/>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Dénomination</w:t>
            </w:r>
          </w:p>
        </w:tc>
        <w:tc>
          <w:tcPr>
            <w:tcW w:type="dxa" w:w="6168"/>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Description</w:t>
            </w:r>
          </w:p>
        </w:tc>
      </w:tr>
      <w:tr>
        <w:tc>
          <w:tcPr>
            <w:tcW w:type="dxa" w:w="54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1</w:t>
            </w:r>
          </w:p>
        </w:tc>
        <w:tc>
          <w:tcPr>
            <w:tcW w:type="dxa" w:w="235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Crédibilité des données probantes</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La capacité de générer, interpréter et appliquer des données scientifiques et administratives pour éclairer les politiques et la communication publique.</w:t>
            </w:r>
          </w:p>
        </w:tc>
      </w:tr>
      <w:tr>
        <w:tc>
          <w:tcPr>
            <w:tcW w:type="dxa" w:w="544"/>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2</w:t>
            </w:r>
          </w:p>
        </w:tc>
        <w:tc>
          <w:tcPr>
            <w:tcW w:type="dxa" w:w="235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Santé publique différenciée</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La capacité d’équilibrer l’accès thérapeutique avec des mesures de protection proportionnées, de prévention et de réduction des risques.</w:t>
            </w:r>
          </w:p>
        </w:tc>
      </w:tr>
      <w:tr>
        <w:tc>
          <w:tcPr>
            <w:tcW w:type="dxa" w:w="54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3</w:t>
            </w:r>
          </w:p>
        </w:tc>
        <w:tc>
          <w:tcPr>
            <w:tcW w:type="dxa" w:w="235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Captation de valeur</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La capacité institutionnelle et industrielle de conserver les bénéfices économiques sur le plan national grâce à la transformation, aux normes et à la mise à niveau des chaînes de valeur.</w:t>
            </w:r>
          </w:p>
        </w:tc>
      </w:tr>
      <w:tr>
        <w:tc>
          <w:tcPr>
            <w:tcW w:type="dxa" w:w="544"/>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4</w:t>
            </w:r>
          </w:p>
        </w:tc>
        <w:tc>
          <w:tcPr>
            <w:tcW w:type="dxa" w:w="235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Réparation de la justice</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Les mécanismes pour traiter les préjudices historiques, notamment l’effacement des casiers, la réinvestissement communautaire et les voies inclusives pour les acteurs traditionnels.</w:t>
            </w:r>
          </w:p>
        </w:tc>
      </w:tr>
      <w:tr>
        <w:tc>
          <w:tcPr>
            <w:tcW w:type="dxa" w:w="54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5</w:t>
            </w:r>
          </w:p>
        </w:tc>
        <w:tc>
          <w:tcPr>
            <w:tcW w:type="dxa" w:w="235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Finance inclusive</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Les systèmes financiers permettant la participation des petits exploitants, coopératives, femmes et PME plutôt que de concentrer le capital parmi les entreprises bien capitalisées.</w:t>
            </w:r>
          </w:p>
        </w:tc>
      </w:tr>
      <w:tr>
        <w:tc>
          <w:tcPr>
            <w:tcW w:type="dxa" w:w="544"/>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6</w:t>
            </w:r>
          </w:p>
        </w:tc>
        <w:tc>
          <w:tcPr>
            <w:tcW w:type="dxa" w:w="235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Confiance numérique</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Les systèmes de traçabilité, de gouvernance des données et de cybersécurité qui renforcent la crédibilité réglementaire sans sacrifier la souveraineté.</w:t>
            </w:r>
          </w:p>
        </w:tc>
      </w:tr>
      <w:tr>
        <w:tc>
          <w:tcPr>
            <w:tcW w:type="dxa" w:w="54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7</w:t>
            </w:r>
          </w:p>
        </w:tc>
        <w:tc>
          <w:tcPr>
            <w:tcW w:type="dxa" w:w="235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Légitimité institutionnelle adaptative</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La capacité d’apprendre, de se recalibrer et de maintenir la confiance du public au fur et à mesure que les conditions évoluent.</w:t>
            </w:r>
          </w:p>
        </w:tc>
      </w:tr>
    </w:tbl>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5.  Le Parcours en Cinq Parties : Une Synthèse</w:t>
      </w:r>
    </w:p>
    <w:p>
      <w:pPr>
        <w:spacing w:after="140" w:before="0" w:line="288"/>
        <w:jc w:val="both"/>
      </w:pPr>
      <w:r>
        <w:rPr>
          <w:rFonts w:ascii="Arial" w:cs="Arial" w:eastAsia="Arial" w:hAnsi="Arial"/>
          <w:b w:val="false"/>
          <w:bCs w:val="false"/>
          <w:i w:val="false"/>
          <w:iCs w:val="false"/>
          <w:color w:val="1A1A1A"/>
          <w:sz w:val="20"/>
          <w:szCs w:val="20"/>
        </w:rPr>
        <w:t xml:space="preserve">Au-delà de ses contributions analytiques, cet ouvrage est conçu comme une boîte à outils pour le partage des connaissances, le renforcement des capacités et la sensibilisation. Il dote les décideurs politiques, les praticiens du développement et les réformateurs de la gouvernance des concepts, des données probantes et des instruments pratiques nécessaires pour naviguer dans la transition du cannabis avec clarté, réalisme et objectif stratégique.</w:t>
      </w:r>
    </w:p>
    <w:p>
      <w:pPr>
        <w:spacing w:after="80" w:before="200" w:line="276"/>
        <w:jc w:val="left"/>
      </w:pPr>
      <w:r>
        <w:rPr>
          <w:rFonts w:ascii="Arial" w:cs="Arial" w:eastAsia="Arial" w:hAnsi="Arial"/>
          <w:b/>
          <w:bCs/>
          <w:i w:val="false"/>
          <w:iCs w:val="false"/>
          <w:color w:val="185FA5"/>
          <w:sz w:val="22"/>
          <w:szCs w:val="22"/>
        </w:rPr>
        <w:t xml:space="preserve">Partie I — Le Cannabis à la Croisée des Chemins (Chapitres 1–5)</w:t>
      </w:r>
    </w:p>
    <w:p>
      <w:pPr>
        <w:spacing w:after="60" w:before="120" w:line="276"/>
        <w:jc w:val="left"/>
      </w:pPr>
      <w:r>
        <w:rPr>
          <w:rFonts w:ascii="Arial" w:cs="Arial" w:eastAsia="Arial" w:hAnsi="Arial"/>
          <w:b/>
          <w:bCs/>
          <w:i/>
          <w:iCs/>
          <w:color w:val="3B6D11"/>
          <w:sz w:val="20"/>
          <w:szCs w:val="20"/>
        </w:rPr>
        <w:t xml:space="preserve">Histoire, Culture et Légitimité comme Fondements Cachés</w:t>
      </w:r>
    </w:p>
    <w:p>
      <w:pPr>
        <w:spacing w:after="140" w:before="0" w:line="288"/>
        <w:jc w:val="both"/>
      </w:pPr>
      <w:r>
        <w:rPr>
          <w:rFonts w:ascii="Arial" w:cs="Arial" w:eastAsia="Arial" w:hAnsi="Arial"/>
          <w:b w:val="false"/>
          <w:bCs w:val="false"/>
          <w:i w:val="false"/>
          <w:iCs w:val="false"/>
          <w:color w:val="1A1A1A"/>
          <w:sz w:val="20"/>
          <w:szCs w:val="20"/>
        </w:rPr>
        <w:t xml:space="preserve">L’ouvrage s’ouvre en établissant que le cannabis ne peut pas être gouverné efficacement sans comprendre ses racines historiques, culturelles et sociales profondes. Le cannabis a traversé les civilisations pendant des millénaires en tant que ressource médicinale, industrielle et rituelle, régie non pas par le droit formel mais par des systèmes de connaissances localement ancrés qui régulaient sa culture, sa préparation et son usage dans des normes sociales.</w:t>
      </w:r>
    </w:p>
    <w:p>
      <w:pPr>
        <w:spacing w:after="140" w:before="0" w:line="288"/>
        <w:jc w:val="both"/>
      </w:pPr>
      <w:r>
        <w:rPr>
          <w:rFonts w:ascii="Arial" w:cs="Arial" w:eastAsia="Arial" w:hAnsi="Arial"/>
          <w:b w:val="false"/>
          <w:bCs w:val="false"/>
          <w:i w:val="false"/>
          <w:iCs w:val="false"/>
          <w:color w:val="1A1A1A"/>
          <w:sz w:val="20"/>
          <w:szCs w:val="20"/>
        </w:rPr>
        <w:t xml:space="preserve">La prohibition du XXe siècle n’a pas émergé d’un consensus scientifique. Elle a été façonnée par des intérêts géopolitiques, des pratiques de gouvernance coloniales et des narratifs racialisés qui ont systématiquement marginalisé les savoirs traditionnels. Le résultat a été une rupture—le remplacement de systèmes adaptatifs et spécifiques au contexte par des mécanismes de contrôle rigides et centralisés qui ont souvent criminalisé les communautés les plus familiarites avec la plante.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Enseignement clé : </w:t>
            </w:r>
            <w:r>
              <w:rPr>
                <w:rFonts w:ascii="Arial" w:cs="Arial" w:eastAsia="Arial" w:hAnsi="Arial"/>
                <w:b w:val="false"/>
                <w:bCs w:val="false"/>
                <w:i w:val="false"/>
                <w:iCs w:val="false"/>
                <w:color w:val="444441"/>
                <w:sz w:val="19"/>
                <w:szCs w:val="19"/>
              </w:rPr>
              <w:t xml:space="preserve">La légitimité est fondamentale. Là où les règles formelles s’alignent sur les normes culturelles et les réalités vécues, la conformité suit. Là où elles divergent, les systèmes informels persistent et la confiance publique s’érode. Aucune réforme juridique ne survit longtemps sans légitimité.</w:t>
            </w:r>
          </w:p>
        </w:tc>
      </w:tr>
    </w:tbl>
    <w:p>
      <w:pPr>
        <w:spacing w:after="60" w:before="0" w:line="276"/>
        <w:jc w:val="left"/>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3B6D11" w:sz="14"/>
              <w:bottom w:val="none" w:color="FFFFFF" w:sz="0"/>
              <w:right w:val="none" w:color="FFFFFF" w:sz="0"/>
            </w:tcBorders>
            <w:shd w:fill="EAF3DE"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3B6D11"/>
                <w:sz w:val="19"/>
                <w:szCs w:val="19"/>
              </w:rPr>
              <w:t xml:space="preserve">Signal politique : </w:t>
            </w:r>
            <w:r>
              <w:rPr>
                <w:rFonts w:ascii="Arial" w:cs="Arial" w:eastAsia="Arial" w:hAnsi="Arial"/>
                <w:b w:val="false"/>
                <w:bCs w:val="false"/>
                <w:i w:val="false"/>
                <w:iCs w:val="false"/>
                <w:color w:val="444441"/>
                <w:sz w:val="19"/>
                <w:szCs w:val="19"/>
              </w:rPr>
              <w:t xml:space="preserve">La conception de la réforme doit commencer par une littératie historique et culturelle. Les décideurs doivent cartographier les systèmes informels existants, s’engager avec les détenteurs de savoirs traditionnels et évaluer la légitimité culturelle des cadres proposés avant que la législation ne soit rédigée.</w:t>
            </w:r>
          </w:p>
        </w:tc>
      </w:tr>
    </w:tbl>
    <w:p>
      <w:pPr>
        <w:spacing w:after="80" w:before="200" w:line="276"/>
        <w:jc w:val="left"/>
      </w:pPr>
      <w:r>
        <w:rPr>
          <w:rFonts w:ascii="Arial" w:cs="Arial" w:eastAsia="Arial" w:hAnsi="Arial"/>
          <w:b/>
          <w:bCs/>
          <w:i w:val="false"/>
          <w:iCs w:val="false"/>
          <w:color w:val="185FA5"/>
          <w:sz w:val="22"/>
          <w:szCs w:val="22"/>
        </w:rPr>
        <w:t xml:space="preserve">Partie II — Science, Santé et Gouvernance des Risques (Chapitres 6–8)</w:t>
      </w:r>
    </w:p>
    <w:p>
      <w:pPr>
        <w:spacing w:after="60" w:before="120" w:line="276"/>
        <w:jc w:val="left"/>
      </w:pPr>
      <w:r>
        <w:rPr>
          <w:rFonts w:ascii="Arial" w:cs="Arial" w:eastAsia="Arial" w:hAnsi="Arial"/>
          <w:b/>
          <w:bCs/>
          <w:i/>
          <w:iCs/>
          <w:color w:val="3B6D11"/>
          <w:sz w:val="20"/>
          <w:szCs w:val="20"/>
        </w:rPr>
        <w:t xml:space="preserve">De la Prohibition à une Politique Fondée sur des Données Probantes</w:t>
      </w:r>
    </w:p>
    <w:p>
      <w:pPr>
        <w:spacing w:after="140" w:before="0" w:line="288"/>
        <w:jc w:val="both"/>
      </w:pPr>
      <w:r>
        <w:rPr>
          <w:rFonts w:ascii="Arial" w:cs="Arial" w:eastAsia="Arial" w:hAnsi="Arial"/>
          <w:b w:val="false"/>
          <w:bCs w:val="false"/>
          <w:i w:val="false"/>
          <w:iCs w:val="false"/>
          <w:color w:val="1A1A1A"/>
          <w:sz w:val="20"/>
          <w:szCs w:val="20"/>
        </w:rPr>
        <w:t xml:space="preserve">Cette partie retrace la renaissance scientifique qui a repositionné le cannabis d’une substance stigmatisée à un sujet légitime de recherche biomédicale. La découverte du système endocannabinoïde—un régulateur physiologique fondamental—a révélé le cannabis comme profondément ancré dans la biologie humaine. Ce n’était pas une avancée mineure. C’était un changement de paradigme qui a forcé une réévaluation de décennies d’hypothèses prohibitionnistes.</w:t>
      </w:r>
    </w:p>
    <w:p>
      <w:pPr>
        <w:spacing w:after="140" w:before="0" w:line="288"/>
        <w:jc w:val="both"/>
      </w:pPr>
      <w:r>
        <w:rPr>
          <w:rFonts w:ascii="Arial" w:cs="Arial" w:eastAsia="Arial" w:hAnsi="Arial"/>
          <w:b w:val="false"/>
          <w:bCs w:val="false"/>
          <w:i w:val="false"/>
          <w:iCs w:val="false"/>
          <w:color w:val="1A1A1A"/>
          <w:sz w:val="20"/>
          <w:szCs w:val="20"/>
        </w:rPr>
        <w:t xml:space="preserve">L’ouvrage examine le potentiel thérapeutique des médicaments à base de cannabis pour la douleur chronique, l’épilepsie, les nausées induites par la chimiothérapie et d’autres affections, tout en restant lucide sur les limites des données actuelles et les risques de dépendance, d’impacts sur la santé mentale et de déficits cognitifs.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Enseignement clé : </w:t>
            </w:r>
            <w:r>
              <w:rPr>
                <w:rFonts w:ascii="Arial" w:cs="Arial" w:eastAsia="Arial" w:hAnsi="Arial"/>
                <w:b w:val="false"/>
                <w:bCs w:val="false"/>
                <w:i w:val="false"/>
                <w:iCs w:val="false"/>
                <w:color w:val="444441"/>
                <w:sz w:val="19"/>
                <w:szCs w:val="19"/>
              </w:rPr>
              <w:t xml:space="preserve">Les données probantes sont nécessaires mais insuffisantes. Une traduction efficace en politique exige une réglementation cohérente, des capacités institutionnelles et une attention soutenue à l’équité d’accès—notamment pour les populations historiquement exclues des systèmes de santé formels.</w:t>
            </w:r>
          </w:p>
        </w:tc>
      </w:tr>
    </w:tbl>
    <w:p>
      <w:pPr>
        <w:spacing w:after="80" w:before="200" w:line="276"/>
        <w:jc w:val="left"/>
      </w:pPr>
      <w:r>
        <w:rPr>
          <w:rFonts w:ascii="Arial" w:cs="Arial" w:eastAsia="Arial" w:hAnsi="Arial"/>
          <w:b/>
          <w:bCs/>
          <w:i w:val="false"/>
          <w:iCs w:val="false"/>
          <w:color w:val="185FA5"/>
          <w:sz w:val="22"/>
          <w:szCs w:val="22"/>
        </w:rPr>
        <w:t xml:space="preserve">Partie III — Économie Durable du Cannabis (Chapitres 9–11)</w:t>
      </w:r>
    </w:p>
    <w:p>
      <w:pPr>
        <w:spacing w:after="60" w:before="120" w:line="276"/>
        <w:jc w:val="left"/>
      </w:pPr>
      <w:r>
        <w:rPr>
          <w:rFonts w:ascii="Arial" w:cs="Arial" w:eastAsia="Arial" w:hAnsi="Arial"/>
          <w:b/>
          <w:bCs/>
          <w:i/>
          <w:iCs/>
          <w:color w:val="3B6D11"/>
          <w:sz w:val="20"/>
          <w:szCs w:val="20"/>
        </w:rPr>
        <w:t xml:space="preserve">Chaînes de Valeur, Chanvre Industriel et le Piège des Matières Premières</w:t>
      </w:r>
    </w:p>
    <w:p>
      <w:pPr>
        <w:spacing w:after="140" w:before="0" w:line="288"/>
        <w:jc w:val="both"/>
      </w:pPr>
      <w:r>
        <w:rPr>
          <w:rFonts w:ascii="Arial" w:cs="Arial" w:eastAsia="Arial" w:hAnsi="Arial"/>
          <w:b w:val="false"/>
          <w:bCs w:val="false"/>
          <w:i w:val="false"/>
          <w:iCs w:val="false"/>
          <w:color w:val="1A1A1A"/>
          <w:sz w:val="20"/>
          <w:szCs w:val="20"/>
        </w:rPr>
        <w:t xml:space="preserve">L’analyse économique commence par une observation sobre : dans les chaînes de valeur mondiales du cannabis, la culture ne capte que 10 à 20 % de la valeur finale du produit. Les 80 à 90 % restants sont concentrés dans la transformation, l’extraction, la formulation, la marque et la vente au détail—des fonctions qui restent massivement localisées dans les pays à revenu élevé.</w:t>
      </w:r>
    </w:p>
    <w:p>
      <w:pPr>
        <w:spacing w:after="140" w:before="0" w:line="288"/>
        <w:jc w:val="both"/>
      </w:pPr>
      <w:r>
        <w:rPr>
          <w:rFonts w:ascii="Arial" w:cs="Arial" w:eastAsia="Arial" w:hAnsi="Arial"/>
          <w:b w:val="false"/>
          <w:bCs w:val="false"/>
          <w:i w:val="false"/>
          <w:iCs w:val="false"/>
          <w:color w:val="1A1A1A"/>
          <w:sz w:val="20"/>
          <w:szCs w:val="20"/>
        </w:rPr>
        <w:t xml:space="preserve">C’est le « piège des matières premières ». Les pays producteurs dotés de conditions climatiques favorables et de faibles coûts de production risquent d’être confinés à fournir de la biomasse pendant que les segments les plus lucratifs de la chaîne de valeur sont captés ailleurs. L’ouvrage démontre que ce résultat n’est pas déterminé par la géographie ou le climat. Il est le produit de choix de gouvernance.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Enseignement clé : </w:t>
            </w:r>
            <w:r>
              <w:rPr>
                <w:rFonts w:ascii="Arial" w:cs="Arial" w:eastAsia="Arial" w:hAnsi="Arial"/>
                <w:b w:val="false"/>
                <w:bCs w:val="false"/>
                <w:i w:val="false"/>
                <w:iCs w:val="false"/>
                <w:color w:val="444441"/>
                <w:sz w:val="19"/>
                <w:szCs w:val="19"/>
              </w:rPr>
              <w:t xml:space="preserve">Le potentiel économique est conditionné par la gouvernance. Les pays qui fournissent des matières brutes sans infrastructure pour transformer, certifier ou valoriser risquent une subordination permanente dans les chaînes de valeur mondiales—non pas en raison d’un désavantage naturel, mais à cause de lacunes de gouvernance entièrement remdidiables.</w:t>
            </w:r>
          </w:p>
        </w:tc>
      </w:tr>
    </w:tbl>
    <w:p>
      <w:pPr>
        <w:spacing w:after="80" w:before="200" w:line="276"/>
        <w:jc w:val="left"/>
      </w:pPr>
      <w:r>
        <w:rPr>
          <w:rFonts w:ascii="Arial" w:cs="Arial" w:eastAsia="Arial" w:hAnsi="Arial"/>
          <w:b/>
          <w:bCs/>
          <w:i w:val="false"/>
          <w:iCs w:val="false"/>
          <w:color w:val="185FA5"/>
          <w:sz w:val="22"/>
          <w:szCs w:val="22"/>
        </w:rPr>
        <w:t xml:space="preserve">Partie IV — Gouvernance et Trajectoires de Développement (Chapitres 12–17)</w:t>
      </w:r>
    </w:p>
    <w:p>
      <w:pPr>
        <w:spacing w:after="60" w:before="120" w:line="276"/>
        <w:jc w:val="left"/>
      </w:pPr>
      <w:r>
        <w:rPr>
          <w:rFonts w:ascii="Arial" w:cs="Arial" w:eastAsia="Arial" w:hAnsi="Arial"/>
          <w:b/>
          <w:bCs/>
          <w:i/>
          <w:iCs/>
          <w:color w:val="3B6D11"/>
          <w:sz w:val="20"/>
          <w:szCs w:val="20"/>
        </w:rPr>
        <w:t xml:space="preserve">Conception Réglementaire, Justice, Institutions et Finance</w:t>
      </w:r>
    </w:p>
    <w:p>
      <w:pPr>
        <w:spacing w:after="140" w:before="0" w:line="288"/>
        <w:jc w:val="both"/>
      </w:pPr>
      <w:r>
        <w:rPr>
          <w:rFonts w:ascii="Arial" w:cs="Arial" w:eastAsia="Arial" w:hAnsi="Arial"/>
          <w:b w:val="false"/>
          <w:bCs w:val="false"/>
          <w:i w:val="false"/>
          <w:iCs w:val="false"/>
          <w:color w:val="1A1A1A"/>
          <w:sz w:val="20"/>
          <w:szCs w:val="20"/>
        </w:rPr>
        <w:t xml:space="preserve">Cette partie constitue le cœur opérationnel de l’ouvrage. Elle passe de l’analyse à l’architecture, en examinant comment les systèmes réglementaires peuvent être conçus, comment les institutions peuvent être construites, et comment la justice et l’inclusion peuvent être intégrées dans l’ADN de la réforme.</w:t>
      </w:r>
    </w:p>
    <w:p>
      <w:pPr>
        <w:spacing w:after="140" w:before="0" w:line="288"/>
        <w:jc w:val="both"/>
      </w:pPr>
      <w:r>
        <w:rPr>
          <w:rFonts w:ascii="Arial" w:cs="Arial" w:eastAsia="Arial" w:hAnsi="Arial"/>
          <w:b w:val="false"/>
          <w:bCs w:val="false"/>
          <w:i w:val="false"/>
          <w:iCs w:val="false"/>
          <w:color w:val="1A1A1A"/>
          <w:sz w:val="20"/>
          <w:szCs w:val="20"/>
        </w:rPr>
        <w:t xml:space="preserve">Sur la justice, l’ouvrage est sans équivoque. Les communautés qui ont supporté les coûts les plus lourds de la prohibition—les petits exploitants criminalisés pour subsistance, les praticiens autochtones dont les savoirs ont été appropriés, les populations surpoliciées pendant que d’autres opéraient librement—se voient dues plus qu’une inclusion tardive. Elles sont dues de la reconnaissance, de la réparation et une participation véritable à la gouvernance des systèmes construits en leur nom.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Enseignement clé : </w:t>
            </w:r>
            <w:r>
              <w:rPr>
                <w:rFonts w:ascii="Arial" w:cs="Arial" w:eastAsia="Arial" w:hAnsi="Arial"/>
                <w:b w:val="false"/>
                <w:bCs w:val="false"/>
                <w:i w:val="false"/>
                <w:iCs w:val="false"/>
                <w:color w:val="444441"/>
                <w:sz w:val="19"/>
                <w:szCs w:val="19"/>
              </w:rPr>
              <w:t xml:space="preserve">Une réforme durable dépend d’architectures de gouvernance cohérentes qui alignent la conception réglementaire, la capacité institutionnelle, la participation inclusive et la finance durable. Une faiblesse dans l’une de ces dimensions peut déstabiliser l’ensemble de la transition.</w:t>
            </w:r>
          </w:p>
        </w:tc>
      </w:tr>
    </w:tbl>
    <w:p>
      <w:pPr>
        <w:spacing w:after="80" w:before="200" w:line="276"/>
        <w:jc w:val="left"/>
      </w:pPr>
      <w:r>
        <w:rPr>
          <w:rFonts w:ascii="Arial" w:cs="Arial" w:eastAsia="Arial" w:hAnsi="Arial"/>
          <w:b/>
          <w:bCs/>
          <w:i w:val="false"/>
          <w:iCs w:val="false"/>
          <w:color w:val="185FA5"/>
          <w:sz w:val="22"/>
          <w:szCs w:val="22"/>
        </w:rPr>
        <w:t xml:space="preserve">Partie V — Conception Systémique et Futurs (Chapitres 18–20)</w:t>
      </w:r>
    </w:p>
    <w:p>
      <w:pPr>
        <w:spacing w:after="60" w:before="120" w:line="276"/>
        <w:jc w:val="left"/>
      </w:pPr>
      <w:r>
        <w:rPr>
          <w:rFonts w:ascii="Arial" w:cs="Arial" w:eastAsia="Arial" w:hAnsi="Arial"/>
          <w:b/>
          <w:bCs/>
          <w:i/>
          <w:iCs/>
          <w:color w:val="3B6D11"/>
          <w:sz w:val="20"/>
          <w:szCs w:val="20"/>
        </w:rPr>
        <w:t xml:space="preserve">Mise en Œuvre, Apprentissage et Souveraineté Numérique</w:t>
      </w:r>
    </w:p>
    <w:p>
      <w:pPr>
        <w:spacing w:after="140" w:before="0" w:line="288"/>
        <w:jc w:val="both"/>
      </w:pPr>
      <w:r>
        <w:rPr>
          <w:rFonts w:ascii="Arial" w:cs="Arial" w:eastAsia="Arial" w:hAnsi="Arial"/>
          <w:b w:val="false"/>
          <w:bCs w:val="false"/>
          <w:i w:val="false"/>
          <w:iCs w:val="false"/>
          <w:color w:val="1A1A1A"/>
          <w:sz w:val="20"/>
          <w:szCs w:val="20"/>
        </w:rPr>
        <w:t xml:space="preserve">La dernière partie affronte la réalité selon laquelle de nombreux processus de réforme échouent non pas parce que leurs objectifs sont incohérents, mais parce qu’ils sous-estiment la difficulté de passer de la déclaration politique à la réalité opérationnelle. La mise en œuvre est là où la réforme juridique devient légitime en pratique—ou échoue à le faire.</w:t>
      </w:r>
    </w:p>
    <w:p>
      <w:pPr>
        <w:spacing w:after="140" w:before="0" w:line="288"/>
        <w:jc w:val="both"/>
      </w:pPr>
      <w:r>
        <w:rPr>
          <w:rFonts w:ascii="Arial" w:cs="Arial" w:eastAsia="Arial" w:hAnsi="Arial"/>
          <w:b w:val="false"/>
          <w:bCs w:val="false"/>
          <w:i w:val="false"/>
          <w:iCs w:val="false"/>
          <w:color w:val="1A1A1A"/>
          <w:sz w:val="20"/>
          <w:szCs w:val="20"/>
        </w:rPr>
        <w:t xml:space="preserve">Le chapitre final se tourne vers l’avenir, examinant la conformité numérique, l’éthique de l’IA et les risques émergents du biais algorithmique et de la cyberfébrilité. Pour les pays en développement, il introduit le concept de souveraineté numérique—l’impératif d’éviter une nouvelle forme de dépendance où des plateformes de traçabilité hébergées à l’étranger récoltent des informations commerciales sensibles et deviennent des points d’étranglement pour l’accès au marché.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Enseignement clé : </w:t>
            </w:r>
            <w:r>
              <w:rPr>
                <w:rFonts w:ascii="Arial" w:cs="Arial" w:eastAsia="Arial" w:hAnsi="Arial"/>
                <w:b w:val="false"/>
                <w:bCs w:val="false"/>
                <w:i w:val="false"/>
                <w:iCs w:val="false"/>
                <w:color w:val="444441"/>
                <w:sz w:val="19"/>
                <w:szCs w:val="19"/>
              </w:rPr>
              <w:t xml:space="preserve">La réforme devient durable non pas lorsqu’elle est déclarée achevée, mais lorsqu’elle peut être mesurée, remise en question et améliorée au fil du temps. La gouvernance adaptative n’est pas un signe d’indécision mais de maturité institutionnelle.</w:t>
            </w:r>
          </w:p>
        </w:tc>
      </w:tr>
    </w:tbl>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6.  Enseignements Principaux</w:t>
      </w:r>
    </w:p>
    <w:p>
      <w:pPr>
        <w:spacing w:after="140" w:before="0" w:line="288"/>
        <w:jc w:val="both"/>
      </w:pPr>
      <w:r>
        <w:rPr>
          <w:rFonts w:ascii="Arial" w:cs="Arial" w:eastAsia="Arial" w:hAnsi="Arial"/>
          <w:b w:val="false"/>
          <w:bCs w:val="false"/>
          <w:i w:val="false"/>
          <w:iCs w:val="false"/>
          <w:color w:val="1A1A1A"/>
          <w:sz w:val="20"/>
          <w:szCs w:val="20"/>
        </w:rPr>
        <w:t xml:space="preserve">Plusieurs enseignements transversaux émergent des cinq parties de l’ouvrage. Ce ne sont pas des résumés de chapitres. Ce sont les messages durables du livre pour la politique et la pratique.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La légalisation est la partie facile. La préparation est le vrai travail. Modifier une loi est un acte politique. Construire les institutions, normes, laboratoires, systèmes de licence et mécanismes d’apprentissage qui font fonctionner une loi est un projet de gouvernance.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Le cannabis est une question de gouvernance, non de droit. Le débat binaire entre prohibition et légalisation obscurcit plus qu’il ne révèle. La vraie question est de savoir comment les systèmes de cannabis sont conçus, qui ils incluent et s’ils peuvent apprendre et s’adapter.</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La légitimité est l’infrastructure cachée de la réforme. Les politiques qui ignorent l’histoire, la culture et la justice peuvent paraître efficaces sur le papier mais échouent en pratique. La confiance, une fois brisée par des décennies de criminalisation sélective, ne peut pas être restaurée par la seule abrogation législative.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Le potentiel économique est réel mais conditionnel. Le cannabis peut soutenir la diversification, la verdisation industrielle et les moyens de subsistance ruraux. Mais sans stratégies délibérées de valorisation, de conformité aux normes et de transformation domestique, les pays producteurs risquent le piège des matières premières.</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La fenêtre de conception délibérée est ouverte mais se referme. Les marchés mondiaux se consolident. Les primo-acteurs établissent des relations acheteurs et une reconnaissance réglementaire. Les pays qui investissent maintenant dans les sept couches de gouvernance façonneront leur propre avenir.</w:t>
      </w: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7.  Objectifs et Résultats Attendus</w:t>
      </w:r>
    </w:p>
    <w:p>
      <w:pPr>
        <w:spacing w:after="80" w:before="200" w:line="276"/>
        <w:jc w:val="left"/>
      </w:pPr>
      <w:r>
        <w:rPr>
          <w:rFonts w:ascii="Arial" w:cs="Arial" w:eastAsia="Arial" w:hAnsi="Arial"/>
          <w:b/>
          <w:bCs/>
          <w:i w:val="false"/>
          <w:iCs w:val="false"/>
          <w:color w:val="185FA5"/>
          <w:sz w:val="22"/>
          <w:szCs w:val="22"/>
        </w:rPr>
        <w:t xml:space="preserve">7.1  Objectifs Principaux</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Recadrer le débat mondial : faire passer le discours sur le cannabis d’une question juridique binaire à un défi de gouvernance et de développement.</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Fournir un cadre diagnostique et stratégique : doter les gouvernements du Modèle de Transition de Gouvernance du Cannabis—une architecture à sept couches permettant une évaluation systématique de la préparation nationale.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Renforcer les capacités institutionnelles : servir de boîte à outils de partage des connaissances et de renforcement des capacités qui renforce la capacité des institutions publiques à concevoir, mettre en œuvre et adapter les politiques du cannabis de manière cohérente.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Intégrer la justice et l’inclusion : garantir que l’équité, la réparation et la participation inclusive sont traitées comme des principes fondamentaux de conception.</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Soutenir le positionnement économique stratégique : fournir aux pays en développement l’éducation économique nécessaire pour aller au-delà de l’approvisionnement en matières premières vers des segments à plus haute valeur ajoutée.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Favoriser la coopération régionale et internationale : plaider pour des laboratoires partagés, des normes harmonisées et une négociation collective comme voies pour les petites économies.</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Promouvoir une gouvernance adaptative et fondée sur les preuves : institutionnaliser le principe selon lequel la politique du cannabis doit être traitée comme un système d’apprentissage.</w:t>
      </w:r>
    </w:p>
    <w:p>
      <w:pPr>
        <w:spacing w:after="80" w:before="200" w:line="276"/>
        <w:jc w:val="left"/>
      </w:pPr>
      <w:r>
        <w:rPr>
          <w:rFonts w:ascii="Arial" w:cs="Arial" w:eastAsia="Arial" w:hAnsi="Arial"/>
          <w:b/>
          <w:bCs/>
          <w:i w:val="false"/>
          <w:iCs w:val="false"/>
          <w:color w:val="185FA5"/>
          <w:sz w:val="22"/>
          <w:szCs w:val="22"/>
        </w:rPr>
        <w:t xml:space="preserve">7.2  Résultats Attendus</w:t>
      </w:r>
    </w:p>
    <w:p>
      <w:pPr>
        <w:spacing w:after="60" w:before="160" w:line="276"/>
        <w:jc w:val="left"/>
      </w:pPr>
      <w:r>
        <w:rPr>
          <w:rFonts w:ascii="Arial" w:cs="Arial" w:eastAsia="Arial" w:hAnsi="Arial"/>
          <w:b/>
          <w:bCs/>
          <w:i w:val="false"/>
          <w:iCs w:val="false"/>
          <w:color w:val="0C447C"/>
          <w:sz w:val="20"/>
          <w:szCs w:val="20"/>
        </w:rPr>
        <w:t xml:space="preserve">Pour les décideurs politiques et les régulateurs</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Une compréhension claire des raisons pour lesquelles la réforme juridique sans préparation institutionnelle est insuffisante.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 cadre pratique—le modèle à sept couches—pour diagnostiquer la préparation nationale.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Une analyse comparative détaillée des modèles réglementaires, avec des leçons adaptables aux contextes locaux.</w:t>
      </w:r>
    </w:p>
    <w:p>
      <w:pPr>
        <w:spacing w:after="60" w:before="160" w:line="276"/>
        <w:jc w:val="left"/>
      </w:pPr>
      <w:r>
        <w:rPr>
          <w:rFonts w:ascii="Arial" w:cs="Arial" w:eastAsia="Arial" w:hAnsi="Arial"/>
          <w:b/>
          <w:bCs/>
          <w:i w:val="false"/>
          <w:iCs w:val="false"/>
          <w:color w:val="0C447C"/>
          <w:sz w:val="20"/>
          <w:szCs w:val="20"/>
        </w:rPr>
        <w:t xml:space="preserve">Pour les praticiens du développement et les prestataires d’assistance technique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Une base de connaissances complète pouvant éclairer la conception des programmes et les missions de conseil.</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La Boîte à Outils Nationale de Préparation à l’Économie du Cannabis (NCE-SAF)—un instrument d’auto-évaluation couvrant 13 dimensions.</w:t>
      </w:r>
    </w:p>
    <w:p>
      <w:pPr>
        <w:spacing w:after="60" w:before="160" w:line="276"/>
        <w:jc w:val="left"/>
      </w:pPr>
      <w:r>
        <w:rPr>
          <w:rFonts w:ascii="Arial" w:cs="Arial" w:eastAsia="Arial" w:hAnsi="Arial"/>
          <w:b/>
          <w:bCs/>
          <w:i w:val="false"/>
          <w:iCs w:val="false"/>
          <w:color w:val="0C447C"/>
          <w:sz w:val="20"/>
          <w:szCs w:val="20"/>
        </w:rPr>
        <w:t xml:space="preserve">Pour les organisations internationales et régionales</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Une fondation analytique solide pour développer des orientations et des cadres modèles adaptés aux réalités des pays en développement.</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Un argument convaincant pour la coopération régionale sur les laboratoires partagés et la certification harmonisée.</w:t>
      </w:r>
    </w:p>
    <w:p>
      <w:pPr>
        <w:spacing w:after="60" w:before="160" w:line="276"/>
        <w:jc w:val="left"/>
      </w:pPr>
      <w:r>
        <w:rPr>
          <w:rFonts w:ascii="Arial" w:cs="Arial" w:eastAsia="Arial" w:hAnsi="Arial"/>
          <w:b/>
          <w:bCs/>
          <w:i w:val="false"/>
          <w:iCs w:val="false"/>
          <w:color w:val="0C447C"/>
          <w:sz w:val="20"/>
          <w:szCs w:val="20"/>
        </w:rPr>
        <w:t xml:space="preserve">Pour la société civile et les groupes de défense</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Des arguments fondés sur des preuves pour soutenir la plaidoirie en faveur d’une réforme juste, inclusive et orientée vers le développement.</w:t>
      </w:r>
    </w:p>
    <w:p>
      <w:pPr>
        <w:pStyle w:val="ListParagraph"/>
        <w:numPr>
          <w:ilvl w:val="0"/>
          <w:numId w:val="2"/>
        </w:numPr>
        <w:spacing w:after="60" w:before="40"/>
        <w:jc w:val="both"/>
      </w:pPr>
      <w:r>
        <w:rPr>
          <w:rFonts w:ascii="Arial" w:cs="Arial" w:eastAsia="Arial" w:hAnsi="Arial"/>
          <w:b w:val="false"/>
          <w:bCs w:val="false"/>
          <w:i w:val="false"/>
          <w:iCs w:val="false"/>
          <w:color w:val="1A1A1A"/>
          <w:sz w:val="20"/>
          <w:szCs w:val="20"/>
        </w:rPr>
        <w:t xml:space="preserve">Des outils pour tenir les gouvernements responsables des engagements en matière d’équité et de santé publique intégrés dans la législation de réforme.</w:t>
      </w:r>
    </w:p>
    <w:p>
      <w:pPr>
        <w:spacing w:after="80" w:before="200" w:line="276"/>
        <w:jc w:val="left"/>
      </w:pPr>
      <w:r>
        <w:rPr>
          <w:rFonts w:ascii="Arial" w:cs="Arial" w:eastAsia="Arial" w:hAnsi="Arial"/>
          <w:b/>
          <w:bCs/>
          <w:i w:val="false"/>
          <w:iCs w:val="false"/>
          <w:color w:val="185FA5"/>
          <w:sz w:val="22"/>
          <w:szCs w:val="22"/>
        </w:rPr>
        <w:t xml:space="preserve">7.3  Un Manuel Mondial Unique</w:t>
      </w:r>
    </w:p>
    <w:p>
      <w:pPr>
        <w:spacing w:after="140" w:before="0" w:line="288"/>
        <w:jc w:val="both"/>
      </w:pPr>
      <w:r>
        <w:rPr>
          <w:rFonts w:ascii="Arial" w:cs="Arial" w:eastAsia="Arial" w:hAnsi="Arial"/>
          <w:b w:val="false"/>
          <w:bCs w:val="false"/>
          <w:i w:val="false"/>
          <w:iCs w:val="false"/>
          <w:color w:val="1A1A1A"/>
          <w:sz w:val="20"/>
          <w:szCs w:val="20"/>
        </w:rPr>
        <w:t xml:space="preserve">Plusieurs caractéristiques distinguent cet ouvrage des publications existantes sur la politique du cannabis. Premièrement, sa portée exhaustive—aucun autre ouvrage unique n’intègre l’analyse historique, l’ethnographie culturelle, la pharmacologie, la pratique clinique, la santé publique, l’économie, la conception réglementaire, le droit international, la théorie de la justice, la gouvernance institutionnelle, les trajectoires de développement, la finance durable, la science de la mise en œuvre et les futurs numériques dans un seul cadre analytique.</w:t>
      </w:r>
    </w:p>
    <w:p>
      <w:pPr>
        <w:spacing w:after="140" w:before="0" w:line="288"/>
        <w:jc w:val="both"/>
      </w:pPr>
      <w:r>
        <w:rPr>
          <w:rFonts w:ascii="Arial" w:cs="Arial" w:eastAsia="Arial" w:hAnsi="Arial"/>
          <w:b w:val="false"/>
          <w:bCs w:val="false"/>
          <w:i w:val="false"/>
          <w:iCs w:val="false"/>
          <w:color w:val="1A1A1A"/>
          <w:sz w:val="20"/>
          <w:szCs w:val="20"/>
        </w:rPr>
        <w:t xml:space="preserve">Deuxièmement, sa perspective. L’ouvrage est écrit depuis et pour le Sud Global. Troisièmement, son utilité pratique—trois annexes traduisent l’analyse en application. Quatrièmement, son ancrage éthique. La justice est traitée non pas comme une concession politique mais comme une exigence structurelle pour une réforme durable. Cinquièmement, sa posture adaptative—l’ouvrage ne propose pas de solution unique mais un cadre pour penser, diagnostiquer, séquencer et apprendre.</w:t>
      </w: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8.  La Boîte à Outils Pratique</w:t>
      </w:r>
    </w:p>
    <w:p>
      <w:pPr>
        <w:spacing w:after="140" w:before="0" w:line="288"/>
        <w:jc w:val="both"/>
      </w:pPr>
      <w:r>
        <w:rPr>
          <w:rFonts w:ascii="Arial" w:cs="Arial" w:eastAsia="Arial" w:hAnsi="Arial"/>
          <w:b w:val="false"/>
          <w:bCs w:val="false"/>
          <w:i w:val="false"/>
          <w:iCs w:val="false"/>
          <w:color w:val="1A1A1A"/>
          <w:sz w:val="20"/>
          <w:szCs w:val="20"/>
        </w:rPr>
        <w:t xml:space="preserve">L’ouvrage est complété par trois annexes substantielles conçues pour faire passer l’analyse de l’argumentation à l’application.</w:t>
      </w:r>
    </w:p>
    <w:p>
      <w:pPr>
        <w:spacing w:after="80" w:before="200" w:line="276"/>
        <w:jc w:val="left"/>
      </w:pPr>
      <w:r>
        <w:rPr>
          <w:rFonts w:ascii="Arial" w:cs="Arial" w:eastAsia="Arial" w:hAnsi="Arial"/>
          <w:b/>
          <w:bCs/>
          <w:i w:val="false"/>
          <w:iCs w:val="false"/>
          <w:color w:val="185FA5"/>
          <w:sz w:val="22"/>
          <w:szCs w:val="22"/>
        </w:rPr>
        <w:t xml:space="preserve">Annexe 1 : Apercu de l’Économie Mondiale du Cannabis</w:t>
      </w:r>
    </w:p>
    <w:p>
      <w:pPr>
        <w:spacing w:after="140" w:before="0" w:line="288"/>
        <w:jc w:val="both"/>
      </w:pPr>
      <w:r>
        <w:rPr>
          <w:rFonts w:ascii="Arial" w:cs="Arial" w:eastAsia="Arial" w:hAnsi="Arial"/>
          <w:b w:val="false"/>
          <w:bCs w:val="false"/>
          <w:i w:val="false"/>
          <w:iCs w:val="false"/>
          <w:color w:val="1A1A1A"/>
          <w:sz w:val="20"/>
          <w:szCs w:val="20"/>
        </w:rPr>
        <w:t xml:space="preserve">Cette annexe rassemble les principaux faits, chiffres et signaux de marché sur la demande, la production, les chaînes de valeur et le potentiel de croissance. Elle traduit l’analyse économique de l’ouvrage en résumés visuels accessibles, couvrant la taille du marché (35 à 40 milliards USD en 2024, projeté à plus de 100 milliards USD d’ici 2030), les flux commerciaux, l’emploi, la fiscalité et les trajectoires de croissance différenciées du cannabis médical, des marchés à usage adulte et du chanvre industriel.</w:t>
      </w:r>
    </w:p>
    <w:p>
      <w:pPr>
        <w:spacing w:after="80" w:before="200" w:line="276"/>
        <w:jc w:val="left"/>
      </w:pPr>
      <w:r>
        <w:rPr>
          <w:rFonts w:ascii="Arial" w:cs="Arial" w:eastAsia="Arial" w:hAnsi="Arial"/>
          <w:b/>
          <w:bCs/>
          <w:i w:val="false"/>
          <w:iCs w:val="false"/>
          <w:color w:val="185FA5"/>
          <w:sz w:val="22"/>
          <w:szCs w:val="22"/>
        </w:rPr>
        <w:t xml:space="preserve">Annexe 2 : Analyse Comparative des Modèles de Gouvernance du Cannabis</w:t>
      </w:r>
    </w:p>
    <w:p>
      <w:pPr>
        <w:spacing w:after="140" w:before="0" w:line="288"/>
        <w:jc w:val="both"/>
      </w:pPr>
      <w:r>
        <w:rPr>
          <w:rFonts w:ascii="Arial" w:cs="Arial" w:eastAsia="Arial" w:hAnsi="Arial"/>
          <w:b w:val="false"/>
          <w:bCs w:val="false"/>
          <w:i w:val="false"/>
          <w:iCs w:val="false"/>
          <w:color w:val="1A1A1A"/>
          <w:sz w:val="20"/>
          <w:szCs w:val="20"/>
        </w:rPr>
        <w:t xml:space="preserve">Cette annexe examine comment les pays ont concrètement conçu et opéré leurs systèmes réglementaires. Huit archétypes nationaux sont présentés, notamment les modèles étatiques de santé publique (Uruguay), les modèles commerciaux fédéraux (Canada), les modèles de droits culturels (Jamaïque) et les modèles de développement axé sur l’exportation (Lesotho, Maroc, Colombie).</w:t>
      </w:r>
    </w:p>
    <w:p>
      <w:pPr>
        <w:spacing w:after="80" w:before="200" w:line="276"/>
        <w:jc w:val="left"/>
      </w:pPr>
      <w:r>
        <w:rPr>
          <w:rFonts w:ascii="Arial" w:cs="Arial" w:eastAsia="Arial" w:hAnsi="Arial"/>
          <w:b/>
          <w:bCs/>
          <w:i w:val="false"/>
          <w:iCs w:val="false"/>
          <w:color w:val="185FA5"/>
          <w:sz w:val="22"/>
          <w:szCs w:val="22"/>
        </w:rPr>
        <w:t xml:space="preserve">Annexe 3 : Boîte à Outils Nationale de Préparation à l’Économie du Cannabis (NCE-SAF)</w:t>
      </w:r>
    </w:p>
    <w:p>
      <w:pPr>
        <w:spacing w:after="140" w:before="0" w:line="288"/>
        <w:jc w:val="both"/>
      </w:pPr>
      <w:r>
        <w:rPr>
          <w:rFonts w:ascii="Arial" w:cs="Arial" w:eastAsia="Arial" w:hAnsi="Arial"/>
          <w:b w:val="false"/>
          <w:bCs w:val="false"/>
          <w:i w:val="false"/>
          <w:iCs w:val="false"/>
          <w:color w:val="1A1A1A"/>
          <w:sz w:val="20"/>
          <w:szCs w:val="20"/>
        </w:rPr>
        <w:t xml:space="preserve">Cet outil est l’instrument le plus directement opérationnel de l’ouvrage. Il fournit un cadre d’auto-évaluation guidé selon 13 dimensions de préparation, regroupées en trois clusters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2540"/>
        <w:gridCol w:w="5804"/>
      </w:tblGrid>
      <w:tr>
        <w:tc>
          <w:tcPr>
            <w:tcW w:type="dxa" w:w="726"/>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Cluster</w:t>
            </w:r>
          </w:p>
        </w:tc>
        <w:tc>
          <w:tcPr>
            <w:tcW w:type="dxa" w:w="2540"/>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Dénomination</w:t>
            </w:r>
          </w:p>
        </w:tc>
        <w:tc>
          <w:tcPr>
            <w:tcW w:type="dxa" w:w="5804"/>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Dimensions couvertes</w:t>
            </w:r>
          </w:p>
        </w:tc>
      </w:tr>
      <w:tr>
        <w:tc>
          <w:tcPr>
            <w:tcW w:type="dxa" w:w="726"/>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A</w:t>
            </w:r>
          </w:p>
        </w:tc>
        <w:tc>
          <w:tcPr>
            <w:tcW w:type="dxa" w:w="2540"/>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Fondements de gouvernance</w:t>
            </w:r>
          </w:p>
        </w:tc>
        <w:tc>
          <w:tcPr>
            <w:tcW w:type="dxa" w:w="580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Vision et stratégie nationale ; cadre juridique et réglementaire ; capacité institutionnelle et de gouvernance</w:t>
            </w:r>
          </w:p>
        </w:tc>
      </w:tr>
      <w:tr>
        <w:tc>
          <w:tcPr>
            <w:tcW w:type="dxa" w:w="726"/>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B</w:t>
            </w:r>
          </w:p>
        </w:tc>
        <w:tc>
          <w:tcPr>
            <w:tcW w:type="dxa" w:w="2540"/>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Personnes, Économie et Environnement</w:t>
            </w:r>
          </w:p>
        </w:tc>
        <w:tc>
          <w:tcPr>
            <w:tcW w:type="dxa" w:w="5804"/>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Santé publique et droits humains ; développement économique et du marché ; agriculture, environnement et durabilité ; équité sociale et participation communautaire</w:t>
            </w:r>
          </w:p>
        </w:tc>
      </w:tr>
      <w:tr>
        <w:tc>
          <w:tcPr>
            <w:tcW w:type="dxa" w:w="726"/>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w:t>
            </w:r>
          </w:p>
        </w:tc>
        <w:tc>
          <w:tcPr>
            <w:tcW w:type="dxa" w:w="2540"/>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Facilitateurs, Responsabilité et Alignement</w:t>
            </w:r>
          </w:p>
        </w:tc>
        <w:tc>
          <w:tcPr>
            <w:tcW w:type="dxa" w:w="5804"/>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Connaissances, données et systèmes numériques ; dimensions culturelles et spirituelles ; suivi, évaluation et apprentissage ; alignement international, régional et ODD</w:t>
            </w:r>
          </w:p>
        </w:tc>
      </w:tr>
    </w:tbl>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9.  Un Appel à l’Action pour les Institutions Ciblées</w:t>
      </w:r>
    </w:p>
    <w:p>
      <w:pPr>
        <w:spacing w:after="140" w:before="0" w:line="288"/>
        <w:jc w:val="both"/>
      </w:pPr>
      <w:r>
        <w:rPr>
          <w:rFonts w:ascii="Arial" w:cs="Arial" w:eastAsia="Arial" w:hAnsi="Arial"/>
          <w:b w:val="false"/>
          <w:bCs w:val="false"/>
          <w:i w:val="false"/>
          <w:iCs w:val="false"/>
          <w:color w:val="1A1A1A"/>
          <w:sz w:val="20"/>
          <w:szCs w:val="20"/>
        </w:rPr>
        <w:t xml:space="preserve">Cet ouvrage n’est pas un exercice académique. C’est un instrument stratégique. Sa valeur se mesurera à la mesure dans laquelle il informe les politiques, renforce les capacités et façonne les architectures de gouvernance à travers lesquelles la réforme du cannabis crée de la valeur publique. Nous vous invitons à rejoindre cet effort.</w:t>
      </w:r>
    </w:p>
    <w:p>
      <w:pPr>
        <w:spacing w:after="80" w:before="200" w:line="276"/>
        <w:jc w:val="left"/>
      </w:pPr>
      <w:r>
        <w:rPr>
          <w:rFonts w:ascii="Arial" w:cs="Arial" w:eastAsia="Arial" w:hAnsi="Arial"/>
          <w:b/>
          <w:bCs/>
          <w:i w:val="false"/>
          <w:iCs w:val="false"/>
          <w:color w:val="185FA5"/>
          <w:sz w:val="22"/>
          <w:szCs w:val="22"/>
        </w:rPr>
        <w:t xml:space="preserve">9.1  Pourquoi cet Ouvrage est Important pour Votre Institution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2"/>
        <w:gridCol w:w="6168"/>
      </w:tblGrid>
      <w:tr>
        <w:tc>
          <w:tcPr>
            <w:tcW w:type="dxa" w:w="2902"/>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Institution</w:t>
            </w:r>
          </w:p>
        </w:tc>
        <w:tc>
          <w:tcPr>
            <w:tcW w:type="dxa" w:w="6168"/>
            <w:tcBorders>
              <w:top w:val="single" w:color="0C447C" w:sz="4"/>
              <w:left w:val="single" w:color="0C447C" w:sz="4"/>
              <w:bottom w:val="single" w:color="0C447C" w:sz="4"/>
              <w:right w:val="single" w:color="0C447C" w:sz="4"/>
            </w:tcBorders>
            <w:shd w:fill="185FA5" w:val="clear"/>
            <w:tcMar>
              <w:top w:type="dxa" w:w="80"/>
              <w:left w:type="dxa" w:w="120"/>
              <w:bottom w:type="dxa" w:w="80"/>
              <w:right w:type="dxa" w:w="100"/>
            </w:tcMar>
          </w:tcPr>
          <w:p>
            <w:pPr>
              <w:spacing w:after="120" w:before="0" w:line="276"/>
              <w:jc w:val="left"/>
            </w:pPr>
            <w:r>
              <w:rPr>
                <w:rFonts w:ascii="Arial" w:cs="Arial" w:eastAsia="Arial" w:hAnsi="Arial"/>
                <w:b/>
                <w:bCs/>
                <w:i w:val="false"/>
                <w:iCs w:val="false"/>
                <w:color w:val="FFFFFF"/>
                <w:sz w:val="18"/>
                <w:szCs w:val="18"/>
              </w:rPr>
              <w:t xml:space="preserve">Pertinence</w:t>
            </w:r>
          </w:p>
        </w:tc>
      </w:tr>
      <w:tr>
        <w:tc>
          <w:tcPr>
            <w:tcW w:type="dxa" w:w="2902"/>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Agences des Nations Unies (PNUD, CNUCED, ONUDC, OMS)</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Cadre intégré pour aligner la politique du cannabis sur les ODD ; instruments pour l’évaluation des capacités institutionnelles.</w:t>
            </w:r>
          </w:p>
        </w:tc>
      </w:tr>
      <w:tr>
        <w:tc>
          <w:tcPr>
            <w:tcW w:type="dxa" w:w="2902"/>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Union africaine et communautés économiques régionales africaines</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Positionne le cannabis dans l’Agenda 2063 et les stratégies continentales de souveraineté pharmaceutique et d’agro-industrialisation.</w:t>
            </w:r>
          </w:p>
        </w:tc>
      </w:tr>
      <w:tr>
        <w:tc>
          <w:tcPr>
            <w:tcW w:type="dxa" w:w="2902"/>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CARICOM et organisations axées sur les PEID</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Aborde les contraintes spécifiques des petites économies et démontre comment la coopération régionale peut transformer la petitesse structurelle en capacité coordonnée.</w:t>
            </w:r>
          </w:p>
        </w:tc>
      </w:tr>
      <w:tr>
        <w:tc>
          <w:tcPr>
            <w:tcW w:type="dxa" w:w="2902"/>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Institutions de financement du développement (BAD, BM, IFC)</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Fondation pour concevoir des instruments financiers soutenant le développement inclusif du secteur du cannabis.</w:t>
            </w:r>
          </w:p>
        </w:tc>
      </w:tr>
      <w:tr>
        <w:tc>
          <w:tcPr>
            <w:tcW w:type="dxa" w:w="2902"/>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Fondations philanthropiques</w:t>
            </w:r>
          </w:p>
        </w:tc>
        <w:tc>
          <w:tcPr>
            <w:tcW w:type="dxa" w:w="6168"/>
            <w:tcBorders>
              <w:top w:val="single" w:color="D3D1C7" w:sz="2"/>
              <w:left w:val="single" w:color="D3D1C7" w:sz="2"/>
              <w:bottom w:val="single" w:color="D3D1C7" w:sz="2"/>
              <w:right w:val="single" w:color="D3D1C7" w:sz="2"/>
            </w:tcBorders>
            <w:shd w:fill="FFFFFF"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S’aligne sur les mandats de justice sociale des fondations travaillant à l’intersection de la santé, des droits humains et des opportunités économiques.</w:t>
            </w:r>
          </w:p>
        </w:tc>
      </w:tr>
      <w:tr>
        <w:tc>
          <w:tcPr>
            <w:tcW w:type="dxa" w:w="2902"/>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OIF, IFDD et réseaux francophones</w:t>
            </w:r>
          </w:p>
        </w:tc>
        <w:tc>
          <w:tcPr>
            <w:tcW w:type="dxa" w:w="6168"/>
            <w:tcBorders>
              <w:top w:val="single" w:color="D3D1C7" w:sz="2"/>
              <w:left w:val="single" w:color="D3D1C7" w:sz="2"/>
              <w:bottom w:val="single" w:color="D3D1C7" w:sz="2"/>
              <w:right w:val="single" w:color="D3D1C7" w:sz="2"/>
            </w:tcBorders>
            <w:shd w:fill="F1EFE8" w:val="clear"/>
            <w:tcMar>
              <w:top w:type="dxa" w:w="80"/>
              <w:left w:type="dxa" w:w="120"/>
              <w:bottom w:type="dxa" w:w="80"/>
              <w:right w:type="dxa" w:w="100"/>
            </w:tcMar>
          </w:tcPr>
          <w:p>
            <w:pPr>
              <w:spacing w:after="120" w:before="0" w:line="276"/>
              <w:jc w:val="both"/>
            </w:pPr>
            <w:r>
              <w:rPr>
                <w:rFonts w:ascii="Arial" w:cs="Arial" w:eastAsia="Arial" w:hAnsi="Arial"/>
                <w:b w:val="false"/>
                <w:bCs w:val="false"/>
                <w:i w:val="false"/>
                <w:iCs w:val="false"/>
                <w:color w:val="1A1A1A"/>
                <w:sz w:val="18"/>
                <w:szCs w:val="18"/>
              </w:rPr>
              <w:t xml:space="preserve">Outil de renforcement des capacités pour les PRFI et PEID francophones ; édition française disponible pour diffusion immédiate.</w:t>
            </w:r>
          </w:p>
        </w:tc>
      </w:tr>
    </w:tbl>
    <w:p>
      <w:pPr>
        <w:spacing w:after="80" w:before="0" w:line="276"/>
        <w:jc w:val="left"/>
      </w:pPr>
    </w:p>
    <w:p>
      <w:pPr>
        <w:spacing w:after="80" w:before="200" w:line="276"/>
        <w:jc w:val="left"/>
      </w:pPr>
      <w:r>
        <w:rPr>
          <w:rFonts w:ascii="Arial" w:cs="Arial" w:eastAsia="Arial" w:hAnsi="Arial"/>
          <w:b/>
          <w:bCs/>
          <w:i w:val="false"/>
          <w:iCs w:val="false"/>
          <w:color w:val="185FA5"/>
          <w:sz w:val="22"/>
          <w:szCs w:val="22"/>
        </w:rPr>
        <w:t xml:space="preserve">9.2  Opportunités Spécifiques de Collaboration</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Approbation formelle : une approbation de votre institution amplifierait la crédibilité de l’ouvrage et signalerait que la gouvernance du cannabis est une priorité de développement légitime et urgente.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Traduction et diffusion : l’ouvrage est actuellement en anglais. Nous cherchons des partenaires pour soutenir la traduction en français, espagnol, portugais et arabe.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Intégration dans les programmes d’assistance technique : la NCE-SAF est conçue pour être déployée dans des missions d’assistance technique.</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Partenariats de recherche régionale et thématique : nous accueillons les partenariats avec des institutions de recherche pour approfondir la base de données probantes.</w:t>
      </w:r>
    </w:p>
    <w:p>
      <w:pPr>
        <w:pStyle w:val="ListParagraph"/>
        <w:numPr>
          <w:ilvl w:val="0"/>
          <w:numId w:val="3"/>
        </w:numPr>
        <w:spacing w:after="60" w:before="40"/>
        <w:jc w:val="both"/>
      </w:pPr>
      <w:r>
        <w:rPr>
          <w:rFonts w:ascii="Arial" w:cs="Arial" w:eastAsia="Arial" w:hAnsi="Arial"/>
          <w:b w:val="false"/>
          <w:bCs w:val="false"/>
          <w:i w:val="false"/>
          <w:iCs w:val="false"/>
          <w:color w:val="1A1A1A"/>
          <w:sz w:val="20"/>
          <w:szCs w:val="20"/>
        </w:rPr>
        <w:t xml:space="preserve">Dialogues politiques et ateliers de renforcement des capacités : nous proposons une série de dialogues politiques régionaux en Afrique, aux Caraïbes et dans l’océan Indien.</w:t>
      </w: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pBdr>
          <w:bottom w:val="single" w:color="185FA5" w:sz="6"/>
        </w:pBdr>
        <w:spacing w:after="120" w:before="280"/>
      </w:pPr>
      <w:r>
        <w:rPr>
          <w:rFonts w:ascii="Arial" w:cs="Arial" w:eastAsia="Arial" w:hAnsi="Arial"/>
          <w:b/>
          <w:bCs/>
          <w:i w:val="false"/>
          <w:iCs w:val="false"/>
          <w:color w:val="0C447C"/>
          <w:sz w:val="26"/>
          <w:szCs w:val="26"/>
        </w:rPr>
        <w:t xml:space="preserve">10.  Remarques Conclusives</w:t>
      </w:r>
    </w:p>
    <w:p>
      <w:pPr>
        <w:spacing w:after="140" w:before="0" w:line="288"/>
        <w:jc w:val="both"/>
      </w:pPr>
      <w:r>
        <w:rPr>
          <w:rFonts w:ascii="Arial" w:cs="Arial" w:eastAsia="Arial" w:hAnsi="Arial"/>
          <w:b w:val="false"/>
          <w:bCs w:val="false"/>
          <w:i w:val="false"/>
          <w:iCs w:val="false"/>
          <w:color w:val="1A1A1A"/>
          <w:sz w:val="20"/>
          <w:szCs w:val="20"/>
        </w:rPr>
        <w:t xml:space="preserve">Reclaiming the Green Gold est un livre sur le cannabis. Mais c’est aussi un livre sur quelque chose de plus grand : la capacité des États à gouverner des transitions complexes dans l’incertitude. Les leçons apprises ici—sur le séquençage de la réforme sous contraintes institutionnelles, la rétention de valeur dans les marchés mondiaux, la réparation des préjudices historiques et la construction de systèmes adaptatifs—sont transférables à l’adaptation climatique, la transformation numérique et les autres défis profonds qui définissent cette ère de gouvernance.</w:t>
      </w:r>
    </w:p>
    <w:p>
      <w:pPr>
        <w:spacing w:after="140" w:before="0" w:line="288"/>
        <w:jc w:val="both"/>
      </w:pPr>
      <w:r>
        <w:rPr>
          <w:rFonts w:ascii="Arial" w:cs="Arial" w:eastAsia="Arial" w:hAnsi="Arial"/>
          <w:b w:val="false"/>
          <w:bCs w:val="false"/>
          <w:i w:val="false"/>
          <w:iCs w:val="false"/>
          <w:color w:val="1A1A1A"/>
          <w:sz w:val="20"/>
          <w:szCs w:val="20"/>
        </w:rPr>
        <w:t xml:space="preserve">L’avenir du cannabis ne sera pas hérité passivement. Il sera tissé à travers des choix délibérés sur les institutions, l’inclusion, les données probantes et la confiance.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Borders>
              <w:top w:val="none" w:color="FFFFFF" w:sz="0"/>
              <w:left w:val="single" w:color="185FA5" w:sz="14"/>
              <w:bottom w:val="none" w:color="FFFFFF" w:sz="0"/>
              <w:right w:val="none" w:color="FFFFFF" w:sz="0"/>
            </w:tcBorders>
            <w:shd w:fill="E6F1FB" w:val="clear"/>
            <w:tcMar>
              <w:top w:type="dxa" w:w="100"/>
              <w:left w:type="dxa" w:w="160"/>
              <w:bottom w:type="dxa" w:w="100"/>
              <w:right w:type="dxa" w:w="120"/>
            </w:tcMar>
          </w:tcPr>
          <w:p>
            <w:pPr>
              <w:spacing w:after="0" w:before="0" w:line="270"/>
              <w:jc w:val="both"/>
            </w:pPr>
            <w:r>
              <w:rPr>
                <w:rFonts w:ascii="Arial" w:cs="Arial" w:eastAsia="Arial" w:hAnsi="Arial"/>
                <w:b/>
                <w:bCs/>
                <w:i w:val="false"/>
                <w:iCs w:val="false"/>
                <w:color w:val="185FA5"/>
                <w:sz w:val="19"/>
                <w:szCs w:val="19"/>
              </w:rPr>
              <w:t xml:space="preserve">Notre invitation : </w:t>
            </w:r>
            <w:r>
              <w:rPr>
                <w:rFonts w:ascii="Arial" w:cs="Arial" w:eastAsia="Arial" w:hAnsi="Arial"/>
                <w:b w:val="false"/>
                <w:bCs w:val="false"/>
                <w:i w:val="false"/>
                <w:iCs w:val="false"/>
                <w:color w:val="444441"/>
                <w:sz w:val="19"/>
                <w:szCs w:val="19"/>
              </w:rPr>
              <w:t xml:space="preserve">La fenêtre de conception délibérée est ouverte mais se referme. Les pays et institutions qui agissent maintenant—avant que les marchés ne se consolident, avant que les attentes réglementaires ne se durcissent, avant que le moment politique ne passe—façonneront le paysage de gouvernance du cannabis pour les décennies à venir. Nous vous invitons à nous rejoindre dans ce travail.</w:t>
            </w:r>
          </w:p>
        </w:tc>
      </w:tr>
    </w:tbl>
    <w:p>
      <w:pPr>
        <w:spacing w:after="100" w:before="0" w:line="276"/>
        <w:jc w:val="left"/>
      </w:pPr>
    </w:p>
    <w:p>
      <w:pPr>
        <w:pBdr>
          <w:bottom w:val="single" w:color="D3D1C7" w:sz="4"/>
        </w:pBdr>
        <w:spacing w:after="160" w:before="160"/>
      </w:pPr>
      <w:r>
        <w:rPr>
          <w:rFonts w:ascii="Arial" w:cs="Arial" w:eastAsia="Arial" w:hAnsi="Arial"/>
          <w:b w:val="false"/>
          <w:bCs w:val="false"/>
          <w:i w:val="false"/>
          <w:iCs w:val="false"/>
          <w:color w:val="1A1A1A"/>
          <w:sz w:val="4"/>
          <w:szCs w:val="4"/>
        </w:rPr>
        <w:t xml:space="preserve"/>
      </w:r>
    </w:p>
    <w:p>
      <w:pPr>
        <w:spacing w:after="40" w:before="60" w:line="276"/>
        <w:jc w:val="left"/>
      </w:pPr>
      <w:r>
        <w:rPr>
          <w:rFonts w:ascii="Arial" w:cs="Arial" w:eastAsia="Arial" w:hAnsi="Arial"/>
          <w:b/>
          <w:bCs/>
          <w:i w:val="false"/>
          <w:iCs w:val="false"/>
          <w:color w:val="0C447C"/>
          <w:sz w:val="20"/>
          <w:szCs w:val="20"/>
        </w:rPr>
        <w:t xml:space="preserve">Sunil &amp; Sunny Sweenarain</w:t>
      </w:r>
    </w:p>
    <w:p>
      <w:pPr>
        <w:spacing w:after="60" w:before="0" w:line="276"/>
        <w:jc w:val="left"/>
      </w:pPr>
      <w:r>
        <w:rPr>
          <w:rFonts w:ascii="Arial" w:cs="Arial" w:eastAsia="Arial" w:hAnsi="Arial"/>
          <w:b w:val="false"/>
          <w:bCs w:val="false"/>
          <w:i/>
          <w:iCs/>
          <w:color w:val="888780"/>
          <w:sz w:val="18"/>
          <w:szCs w:val="18"/>
        </w:rPr>
        <w:t xml:space="preserve">Mauritius, Mai 2026</w:t>
      </w:r>
    </w:p>
    <w:p>
      <w:pPr>
        <w:spacing w:after="40" w:before="0" w:line="276"/>
        <w:jc w:val="left"/>
      </w:pPr>
      <w:r>
        <w:rPr>
          <w:rFonts w:ascii="Arial" w:cs="Arial" w:eastAsia="Arial" w:hAnsi="Arial"/>
          <w:b/>
          <w:bCs/>
          <w:i w:val="false"/>
          <w:iCs w:val="false"/>
          <w:color w:val="0C447C"/>
          <w:sz w:val="18"/>
          <w:szCs w:val="18"/>
        </w:rPr>
        <w:t xml:space="preserve">Contact : </w:t>
      </w:r>
      <w:r>
        <w:rPr>
          <w:rFonts w:ascii="Arial" w:cs="Arial" w:eastAsia="Arial" w:hAnsi="Arial"/>
          <w:b w:val="false"/>
          <w:bCs w:val="false"/>
          <w:i w:val="false"/>
          <w:iCs w:val="false"/>
          <w:color w:val="444441"/>
          <w:sz w:val="18"/>
          <w:szCs w:val="18"/>
        </w:rPr>
        <w:t xml:space="preserve">sweenmru@gmail.com / sunilmru2609@outlook.com</w:t>
      </w:r>
    </w:p>
    <w:p>
      <w:pPr>
        <w:spacing w:after="120" w:before="0" w:line="276"/>
        <w:jc w:val="left"/>
      </w:pPr>
      <w:r>
        <w:rPr>
          <w:rFonts w:ascii="Arial" w:cs="Arial" w:eastAsia="Arial" w:hAnsi="Arial"/>
          <w:b/>
          <w:bCs/>
          <w:i w:val="false"/>
          <w:iCs w:val="false"/>
          <w:color w:val="0C447C"/>
          <w:sz w:val="18"/>
          <w:szCs w:val="18"/>
        </w:rPr>
        <w:t xml:space="preserve">WhatsApp : </w:t>
      </w:r>
      <w:r>
        <w:rPr>
          <w:rFonts w:ascii="Arial" w:cs="Arial" w:eastAsia="Arial" w:hAnsi="Arial"/>
          <w:b w:val="false"/>
          <w:bCs w:val="false"/>
          <w:i w:val="false"/>
          <w:iCs w:val="false"/>
          <w:color w:val="444441"/>
          <w:sz w:val="18"/>
          <w:szCs w:val="18"/>
        </w:rPr>
        <w:t xml:space="preserve">+230 5255 3890</w:t>
      </w:r>
      <w:r>
        <w:rPr>
          <w:rFonts w:ascii="Arial" w:cs="Arial" w:eastAsia="Arial" w:hAnsi="Arial"/>
          <w:b/>
          <w:bCs/>
          <w:i w:val="false"/>
          <w:iCs w:val="false"/>
          <w:color w:val="0C447C"/>
          <w:sz w:val="18"/>
          <w:szCs w:val="18"/>
        </w:rPr>
        <w:t xml:space="preserve">   |   Site web : </w:t>
      </w:r>
      <w:r>
        <w:rPr>
          <w:rFonts w:ascii="Arial" w:cs="Arial" w:eastAsia="Arial" w:hAnsi="Arial"/>
          <w:b w:val="false"/>
          <w:bCs w:val="false"/>
          <w:i/>
          <w:iCs/>
          <w:color w:val="444441"/>
          <w:sz w:val="18"/>
          <w:szCs w:val="18"/>
        </w:rPr>
        <w:t xml:space="preserve">ReclaimingtheGreenGold.com (en construction)</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pBdr>
      <w:tabs>
        <w:tab w:val="right" w:pos="9070"/>
      </w:tabs>
      <w:spacing w:after="0" w:before="80"/>
    </w:pPr>
    <w:r>
      <w:rPr>
        <w:rFonts w:ascii="Arial" w:cs="Arial" w:eastAsia="Arial" w:hAnsi="Arial"/>
        <w:b w:val="false"/>
        <w:bCs w:val="false"/>
        <w:i w:val="false"/>
        <w:iCs w:val="false"/>
        <w:color w:val="888780"/>
        <w:sz w:val="15"/>
        <w:szCs w:val="15"/>
      </w:rPr>
      <w:t xml:space="preserve">Dr S. Sweenarain &amp; S. Sweenarain — Mauritius, Mai 2026</w:t>
    </w:r>
    <w:r>
      <w:rPr>
        <w:rFonts w:ascii="Arial" w:cs="Arial" w:eastAsia="Arial" w:hAnsi="Arial"/>
        <w:sz w:val="15"/>
        <w:szCs w:val="15"/>
      </w:rPr>
      <w:t xml:space="preserve">	</w:t>
    </w:r>
    <w:r>
      <w:rPr>
        <w:rFonts w:ascii="Arial" w:cs="Arial" w:eastAsia="Arial" w:hAnsi="Arial"/>
        <w:b w:val="false"/>
        <w:bCs w:val="false"/>
        <w:i w:val="false"/>
        <w:iCs w:val="false"/>
        <w:color w:val="888780"/>
        <w:sz w:val="15"/>
        <w:szCs w:val="15"/>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pBdr>
      <w:spacing w:after="80" w:before="0"/>
    </w:pPr>
    <w:r>
      <w:rPr>
        <w:rFonts w:ascii="Arial" w:cs="Arial" w:eastAsia="Arial" w:hAnsi="Arial"/>
        <w:b w:val="false"/>
        <w:bCs w:val="false"/>
        <w:i w:val="false"/>
        <w:iCs w:val="false"/>
        <w:color w:val="888780"/>
        <w:sz w:val="16"/>
        <w:szCs w:val="16"/>
      </w:rPr>
      <w:t xml:space="preserve">CONFIDENTIEL — À des fins d’approbation et de collaboration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Arial" w:cs="Arial" w:eastAsia="Arial" w:hAnsi="Arial"/>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2026-05-05T09:03:58.480Z</dcterms:created>
  <dcterms:modified xsi:type="dcterms:W3CDTF">2026-05-05T09:03:58.495Z</dcterms:modified>
</cp:coreProperties>
</file>

<file path=docProps/custom.xml><?xml version="1.0" encoding="utf-8"?>
<Properties xmlns="http://schemas.openxmlformats.org/officeDocument/2006/custom-properties" xmlns:vt="http://schemas.openxmlformats.org/officeDocument/2006/docPropsVTypes"/>
</file>