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3" w:lineRule="auto"/>
      </w:pPr>
      <w:r>
        <w:rPr>
          <w:rFonts w:ascii="Aptos" w:hAnsi="Aptos"/>
          <w:b w:val="0"/>
          <w:i w:val="0"/>
          <w:color w:val="1E293B"/>
          <w:sz w:val="21"/>
        </w:rPr>
      </w:r>
    </w:p>
    <w:p>
      <w:pPr>
        <w:spacing w:before="0" w:after="40" w:line="283" w:lineRule="auto"/>
      </w:pPr>
      <w:r>
        <w:rPr>
          <w:rFonts w:ascii="Aptos" w:hAnsi="Aptos"/>
          <w:b w:val="0"/>
          <w:i w:val="0"/>
          <w:color w:val="1E293B"/>
          <w:sz w:val="21"/>
        </w:rPr>
      </w:r>
    </w:p>
    <w:p>
      <w:pPr>
        <w:spacing w:before="0" w:after="40" w:line="283" w:lineRule="auto"/>
      </w:pPr>
      <w:r>
        <w:rPr>
          <w:rFonts w:ascii="Aptos" w:hAnsi="Aptos"/>
          <w:b w:val="0"/>
          <w:i w:val="0"/>
          <w:color w:val="1E293B"/>
          <w:sz w:val="21"/>
        </w:rPr>
      </w:r>
    </w:p>
    <w:p>
      <w:pPr>
        <w:spacing w:before="0" w:after="40" w:line="283" w:lineRule="auto"/>
      </w:pPr>
      <w:r>
        <w:rPr>
          <w:rFonts w:ascii="Aptos" w:hAnsi="Aptos"/>
          <w:b w:val="0"/>
          <w:i w:val="0"/>
          <w:color w:val="1E293B"/>
          <w:sz w:val="21"/>
        </w:rPr>
      </w:r>
    </w:p>
    <w:p>
      <w:pPr>
        <w:spacing w:before="0" w:after="40" w:line="283" w:lineRule="auto"/>
      </w:pPr>
      <w:r>
        <w:rPr>
          <w:rFonts w:ascii="Aptos" w:hAnsi="Aptos"/>
          <w:b w:val="0"/>
          <w:i w:val="0"/>
          <w:color w:val="1E293B"/>
          <w:sz w:val="21"/>
        </w:rPr>
      </w:r>
    </w:p>
    <w:p>
      <w:pPr>
        <w:spacing w:before="0" w:after="160" w:line="283" w:lineRule="auto"/>
        <w:jc w:val="center"/>
      </w:pPr>
      <w:r>
        <w:rPr>
          <w:rFonts w:ascii="Aptos" w:hAnsi="Aptos"/>
          <w:b/>
          <w:i w:val="0"/>
          <w:color w:val="16A6B6"/>
          <w:sz w:val="32"/>
        </w:rPr>
        <w:t>PROJECT ALEPH</w:t>
      </w:r>
    </w:p>
    <w:p>
      <w:pPr>
        <w:spacing w:before="0" w:after="280" w:line="283" w:lineRule="auto"/>
        <w:jc w:val="center"/>
      </w:pPr>
      <w:r>
        <w:rPr>
          <w:rFonts w:ascii="Aptos" w:hAnsi="Aptos"/>
          <w:b/>
          <w:i w:val="0"/>
          <w:color w:val="102A43"/>
          <w:sz w:val="58"/>
        </w:rPr>
        <w:t>From ffn_cellsim to an</w:t>
        <w:br/>
        <w:t>Evidence-Bounded Probabilistic Mechanistic Virtual Cell</w:t>
      </w:r>
    </w:p>
    <w:p>
      <w:pPr>
        <w:spacing w:before="0" w:after="360" w:line="283" w:lineRule="auto"/>
        <w:jc w:val="center"/>
      </w:pPr>
      <w:r>
        <w:rPr>
          <w:rFonts w:ascii="Aptos" w:hAnsi="Aptos"/>
          <w:b w:val="0"/>
          <w:i w:val="0"/>
          <w:color w:val="52616B"/>
          <w:sz w:val="24"/>
        </w:rPr>
        <w:t>Graduate cell mechanics report · architecture, equations, components, connectors, parameter sweeps, neural inference, system optimization, and current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6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83" w:lineRule="auto"/>
        <w:jc w:val="center"/>
      </w:pPr>
      <w:r>
        <w:rPr>
          <w:rFonts w:ascii="Aptos" w:hAnsi="Aptos"/>
          <w:b w:val="0"/>
          <w:i/>
          <w:color w:val="52616B"/>
          <w:sz w:val="18"/>
        </w:rPr>
        <w:t>Prepared in English for a graduate audience. Status claims are scoped to the project records available on 10 August 2026.</w:t>
      </w:r>
    </w:p>
    <w:p>
      <w:r>
        <w:br w:type="page"/>
      </w:r>
    </w:p>
    <w:p>
      <w:pPr>
        <w:spacing w:before="0" w:after="240" w:line="283" w:lineRule="auto"/>
      </w:pPr>
      <w:r>
        <w:rPr>
          <w:rFonts w:ascii="Aptos" w:hAnsi="Aptos"/>
          <w:b/>
          <w:i w:val="0"/>
          <w:color w:val="102A43"/>
          <w:sz w:val="44"/>
        </w:rPr>
        <w:t>Contents and use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1. Executive framing and project lineage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2. Mechanics and stochastic-process foundations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3. Canonical components, connectors, runtime, and evidence ladder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4. Parameter provenance and principled sweeps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5. Neural surrogates, posterior inference, and active learning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6. Current evidence, ongoing work, optimization, and experimental use</w:t>
      </w:r>
    </w:p>
    <w:p>
      <w:pPr>
        <w:spacing w:before="0" w:after="14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7. Formula sheet and selected sources</w:t>
      </w:r>
    </w:p>
    <w:p>
      <w:pPr>
        <w:spacing w:before="0" w:after="180" w:line="283" w:lineRule="auto"/>
      </w:pPr>
      <w:r>
        <w:rPr>
          <w:rFonts w:ascii="Aptos" w:hAnsi="Aptos"/>
          <w:b w:val="0"/>
          <w:i w:val="0"/>
          <w:color w:val="1E293B"/>
          <w:sz w:val="22"/>
        </w:rPr>
        <w:t>How to read: each page gives a point, a visual, and a scope statement. “Current evidence” is intentionally conservative; results omitted from the quotable registry are not upgraded by this report.</w:t>
      </w:r>
    </w:p>
    <w:p>
      <w:pPr>
        <w:spacing w:before="20" w:after="60" w:line="264" w:lineRule="auto"/>
      </w:pPr>
      <w:r>
        <w:rPr>
          <w:rFonts w:ascii="Aptos" w:hAnsi="Aptos"/>
          <w:b/>
          <w:i w:val="0"/>
          <w:color w:val="16A6B6"/>
          <w:sz w:val="19"/>
        </w:rPr>
        <w:t xml:space="preserve">Communication objective  </w:t>
      </w:r>
      <w:r>
        <w:rPr>
          <w:rFonts w:ascii="Aptos" w:hAnsi="Aptos"/>
          <w:b w:val="0"/>
          <w:i w:val="0"/>
          <w:color w:val="1E293B"/>
          <w:sz w:val="19"/>
        </w:rPr>
        <w:t>By the end, a cell-mechanics graduate student should be able to distinguish mechanistic representation, numerical evidence, and probabilistic inference—and see how they fit into one virtual-cell research program.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primary records listed in the reference appendix.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EXECUTIVE FRAMING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Why build Aleph?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graduate-level synthesis of ffn_cellsim, Project Aleph, and the path from earlier representations to the current canonical engine.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80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aim is an evidence-bounded posterior over latent cell state, mechanisms, and parameters. A simulator is the instrument that generates mechanistic hypotheses; it is not itself the final scientific claim.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key deliverable is an honest account of what observations identify, what they do not identify, and what experiment or simulation would discriminate among competing explanations.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 (CLAUDE.md, 2026-08-09); STATE.md (2026-08-10).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READING THIS REPORT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A disciplined interpretation guide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This package separates three kinds of statements: mechanistic theory, project architecture, and current evidence. They must not be conflated.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Formula pages present standard representative equations. They explain model families and numerical contracts; they are not evidence that every parameter or mechanism is already quantitatively validated for a particular cell line.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Status pages use the project’s current state registry. Claims marked non-quotable are deliberately not promoted into results.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STATE.md §(b)–(c); ROLLING_ROADMAP.md.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PROBLEM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Cell mechanics is an inverse problem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Different instruments observe different projections of a coupled, active, stochastic cell. A fitted scalar is rarely a unique molecular explanation.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p(z, θ, M | y) ∝ p(y | z, θ, M) p(z, θ | M) p(M)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17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Let latent state z include geometry, topology, molecular occupancy, field variables, and history; θ contains parameters. An observation y is generated through the simulator and a measurement map, y = H(x(z, θ), ε).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Aleph therefore asks for p(z, θ, M | y), including model M and unidentifiability, rather than a single “best” parameter set.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Engelhardt et al., J R Soc Interface 2017; Gonçalves et al., eLife 2020; project charter.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HISTORY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The lineage matters because failures changed the architecture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early v1 and later ff/ and dcm eras generated useful artifacts but also exposed claims, abstractions, and validation paths that did not survive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80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useful lesson is not that earlier work was “bad.” It is that an attractive trajectory, a green test suite, or a local agreement cannot repair an incorrect representation or a missing load path.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current engine inherits mechanisms and laws selectively while making ownership, connector semantics, native-population evidence, and provenance explicit.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TRAJECTORY_HOW_WE_GOT_TO_AC_2026-07-25.md; AUDIT_WHOLE_REPO_2026-07-25.md.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HISTORY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From a monolith to component ownership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decisive reframe was architectural: a mechanical system should not be assembled by naming regions inside one label-blind network.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Each physical filament belongs to exactly one state-owning component.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Cortex, stress-fiber/arc, lamellipodium, and filopodium own disjoint filament populations. Physical communication is a connector with paired reactions, not co-location in an array.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a modeling claim about identity and mechanics, not merely software hygiene.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hard runtime contract; CELL_ENGINE_ARCHITECTURE.md.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HISTORY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Selective migration, not a wholesale merger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Project_Aleph was a separate experimental / replacement tree. The current ffn_cellsim repository is its successor only through controlled, selective migration; it is not governed by two simultaneous charters.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804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8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current tree imported 53,602 lines of the external-training-corpus pipeline into aleph/outer on 2026-08-09. It retained useful provenance and experimental-observation ideas while keeping current CLAUDE.md and STATE.md as the authority for runtime and evidence.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Therefore, historical Project_Aleph numbers and claims are context unless re-established by current records.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aleph/outer/__init__.py; STATE.md §(f), 2026-08-09; /Users/sw1/Project_Aleph/CLAUDE.md (historical context).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HISTORY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Adopted, rebuilt, deferred, and rejected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Adopted: the outer research-corpus pipeline and an evidence-first inference framing. Rebuilt: the component–connector composition layer and the one-way law-to-engine architecture.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Adopt only if: mechanism + ownership + evidence scope remain explicit.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Deferred: an inner surrogate trained on accepted runs, because no declared experiment and accepted-run corpus currently opens that stage. Rejected: Project_Aleph’s runtime↔vertical import cycle, CPU/NumPy simulation authority, and an untracked “replacement tree” as a second source of truth.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scientific reason is not aesthetic. A bidirectional import graph confounds laws with assembly; a non-native runtime cannot be a production physics reference; and a premature surrogate can only learn an unnamed observable.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aleph/outer/__init__.py; aleph/inner/__init__.py; aleph/tests/architecture/test_layer_directions.py; CLAUDE.md.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 DECISIONS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Why components and connectors replaced a monolithic network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Adopted: disjoint state owners plus typed connectors. This retains filament identity, endpoint eligibility, reaction signs, topology events, and independent failure modes.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F_a←b + F_b←a = 0;  co-location ≠ connection.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Rejected: regional labels over a shared, label-blind filament array; spatial co-location as a mechanical connection; and hidden callbacks that bypass a connector ledger. Those shortcuts make it impossible to ablate or audit a specific load path.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explicit alternative is mechanically testable: for each edge, dispatch once, record reactions and work, and restore its candidate state when the physical step rejects.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hard contracts; CELL_ENGINE_ARCHITECTURE.md; ROLLING_ROADMAP.md R1.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 DECISIONS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Why Warp CUDA and analytic oracles have different roles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Adopted: Warp CUDA for every simulation physical-time update. The GPU-resident accepted-step transaction is necessary for the coupled mechanics, fields, and kinetic events to share one physical history.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runtime ≠ oracle;  Warp CUDA physical-time update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070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Rejected: HOOMD or CPU/NumPy stepping as a production, parity, benchmark, or fallback physics runtime. Also rejected: closed-form Bell, Hill, or poroelastic relations as the runtime mechanism.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Analytic relations remain valuable as dimensional checks and acceptance oracles. An oracle judges a native implementation; it must not become the implementation that it is meant to test.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runtime contract; STATE.md §(a), §(c); aleph/tests/architecture/test_layer_directions.py.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CURRENT ARCHITECTURE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What 14 components and 38 connectors mean today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As of 10 August 2026, aleph/engine is canonical: 14 components and 38 registered connector objects. Each connector names a runtime and the census checks that it can bind a concrete class.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14 components / 38 connectors;  structural closure ≠ device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This is structural progress, not a device-run result: the registry explicitly records 38 objects and zero device-run connectors. Production cortex kernels do fire behind --engine-cortex, but complete connected mechanics must earn its own native evidence.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An earlier 32-edge roadmap coverage figure is a historical interim subset, not the current connector census. The current count to present is 38.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§(a), §(f), last verified 2026-08-10; ROLLING_ROADMAP.md.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PURPOSE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Aleph’s scientific objective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Aleph is a classical probabilistic mechanistic virtual cell. It combines explicit mechanics with probabilistic inference and external biological knowledge.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175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posterior prevents an illusory conversion of uncertain, non-identifiable biology into a neat parameter table. It retains correlations, multimodality, and model ambiguity.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For cell-mechanics trainees, the practical consequence is simple: every predicted observable must carry a scope, a source, and an evidence class.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“What this is”; Gonçalves et al., eLife 2020.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State evolution: active, stochastic, and constrained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general semi-discrete representation collects positions, fields, and internal states in x. The physical-time update is governed by force balance, transport, events, and constraints.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M(x) ẋ = Fint(x, z, θ) + Fext − J(x)ᵀ λ,   g(x)=0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606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In an overdamped mechanical view, velocity is mobility times net force. In an inertial extension, mass and damping enter. Constraints contribute Lagrange multipliers rather than hidden penalty forces.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exact project runtime is Warp/CUDA with a mechanical inner solve and an outer physical-time loop; the equation here is a conceptual lens for that architecture.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standard constrained overdamped mechanics.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Filament elasticity is local but its consequences are network-scale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For an actin or microtubule centerline r(s), extension and bending energy create forces after differentiation with respect to nodal coordinates.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Efil = ∫ [½ ks(|∂sr|−1)² + ½ κ |∂²sr|²] 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discrete implementation evaluates these terms on segments, hinges, and crosslinks. It must retain the filament identity and topology necessary for turnover, attachment, and remapping.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teaching point is that “an elastic network” is not enough: filament contour, branch history, crosslink states, and attachments determine the admissible mechanics.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Nédélec et al., New J Phys 2007; project laws/ and engine architecture.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Membrane mechanics: curvature, tension, pressure, and attachments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lipid membrane can be described with a Helfrich bending term, surface tension, and pressure work. The model’s job is not to reduce the cortex to membrane tension; it must represent their connector.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Emem = ∫S [κm/2 (2H−C0)² + γm] dA − ΔP 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678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membrane–cortex relation is mediated by explicit linker / connector semantics. Therefore a membrane node and a cortical node stored in nearby memory are not mechanically joined unless a connector registers their reactions.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distinction is essential for blebbing, load transfer, and membrane–ECM contact.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Helfrich membrane framework; CELL_ENGINE_ARCHITECTURE.md.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Actomyosin: force–velocity is an oracle-shaped relation, not a substitute for heads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Hill-like relation summarizes that motor sliding slows under load. Aleph’s intended mechanism is explicit head-resolved NMII with binding events and working strokes.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v(F) = v0 · (1 − F/Fstall)  for 0 ≤ F ≤ Fstall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824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equation is useful for sanity checks, limits, and parameter interpretation. It is not permission to replace a population of heads, attachment states, and partner reactions with a static contractile stress.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 motor must change both the actin-side and reaction-side force ledgers.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Stam–Hocky mechanism cited in project provenance audit.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KMC event dynamics links chemistry to topology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Binding, detachment, polymerization, capping, severing, crosslinking, and remodeling are discrete events with hazards λi(x, θ).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P(event i in Δt) = 1 − exp[−λi(x, θ) Δt]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411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4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For a small physical step Δt, an event probability follows 1−exp(−λiΔt). Candidate events are provisional until the physical step is accepted, preventing solver retries from changing chemistry.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why event state belongs inside the same accepted-step transaction as geometry and fields.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ROLLING_ROADMAP.md R7; standard continuous-time Markov process formulation.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Force-dependent bonds are mechanical state variables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Bell-like slip bond increases its off-rate under tensile load; catch-slip laws can have a stabilizing range before slip-dominated failure.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koff(F) = koff,0 exp(F xb / kBT)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824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These models need an assay- and isoform-specific provenance. A mathematical curve can be structurally correct while its numerical parameters remain a project “PI-GAP.”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In a clutch, bond kinetics and elastic extension create feedback: load alters lifetime, lifetime alters load sharing, and the network changes traction.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Bell-type kinetics; PARAM_PROVENANCE_AUDIT_2026-07-24.md.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Poroelastic cytosol couples pressure, deformation, and transport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Biot-style closure provides a continuum representation of the fluid / porous core while mechanics evolves on moving boundaries.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S ṗ + α ε̇v + ∇·q = s,   q = −(k/μ)∇p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6788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schematic mass balance uses storage S, pressure p, Darcy flux q, and volumetric strain εv. Coupling must be conservative across interfaces; a field “near” a component is not automatically a mechanical connection.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implementation contract keeps this update GPU-resident inside the physical-time system.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Moeendarbary et al., Nat Mater 2013; project provenance audit.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Energy, work, and reaction ledgers make a coupled model auditable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For conservative parts, a potential E gives F=−∂E/∂x. Active motors, binding, and chemical reactions are non-conservative and require explicit work / ATP accounting.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Fa←b + Fb←a = 0,   ΔWconnector = Σ endpoints F · Δx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connector must apply equal-and-opposite forces to endpoints. Its discrete work must agree with endpoint increments within the declared convention.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turns conservation checks into component-level evidence rather than a vague expectation that total force “looks reasonable.”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CLAUDE.md; CELL_ENGINE_ARCHITECTURE.md global acceptance gates.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THEORY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The accepted-step transaction is a physics contract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candidate step includes forces, field updates, topology events, and ledger changes. The acceptance predicate decides whether they are committed together.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state(t+Δt) = {candidate, if A=1; state(t), if A=0}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070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On rejection, all participating device-resident state is restored exactly. Partial commit would create a physical history that never existed: a bound motor with a rejected displacement, or a remodeled ECM with unaccepted forces.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the bridge between numerical reliability and biological causality.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CLAUDE.md; aleph/engine/transaction.py; ROLLING_ROADMAP.md.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The canonical layer is aleph/engine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As of 2026-08-10, aleph/engine is the canonical composition layer. It contains 14 components and 38 connectors, all naming a runtime but not yet all device-run.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incumbent remains imported during migration because it owns prior native physics. It is feature-frozen: only P0 fixes, instrumentation, and parity—not new biology.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laws layer supplies Warp kernels and does not import upward. Closed-form oracles live outside runtime paths.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§(a), last verified 2026-08-10.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Components own state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Representative components include surface body / membrane, cortex, cytosol-fluid core, nucleus, stress-fiber / arc, focal adhesion, ECM world, NMII actuator, microtubule rig, intermediate filament rig, and protrusion actors.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678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Ownership means the component controls its device-resident arrays, topology, lifecycle, and ledger contribution. Slices into a global allocation can be an implementation step, but are not automatically private allocations.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biological ownership rule is strictest for actin: the regional populations are disjoint.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§(a), §(f); CELL_ENGINE_ARCHITECTURE.md.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Connectors are the only mechanical connections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Connectors encode contact, attachment, transfer, and load paths: ERM–cortex, surface porous transfer, SF–cortex transient coupling, LINC, spectraplakin, focal-adhesion joints, and membrane–ECM contact.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Graph rule: one registered edge → one mechanics/field dispatch owner → one transaction + ledger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Each connector has endpoints, a mechanics / field dispatch owner, transaction participation, and a ledger. The graph must dispatch each edge exactly once in each mechanical phase.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 connector is therefore a scientific hypothesis that can be ablated, validated, and traced.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ROLLING_ROADMAP.md R1; CELL_ENGINE_ARCHITECTURE.md.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Component–connector graph: a minimal connected load path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central pedagogical load path is NMII → stress fiber / arc → focal adhesion → integrin–collagen series joint → ECM → far-field reaction.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Parallel to it, surface, cortex, fluid, and nucleus form a vertical mechanical path. The future whole-cell model is not a pile of modules; it is a causal graph whose edges mediate reactions.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Ablation should remove only reactions reachable through the graph, producing a testable causal prediction.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ROLLING_ROADMAP.md R4–R6; LOAD_PATH_PLAN.md.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ARCHITECTURE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Evidence ladder prevents category errors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eight states are CONTRACTED, SEAMED, KERNEL_BOUND, CUDA_UNIT, CONNECTED, NATIVE, OPTIMISED, and PRODUCTION.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structural test can establish a seam but cannot establish native population mechanics. A native build can establish existence but not convergence. A successful run cannot establish a physical magnitude without the required gate.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hierarchy is a presentation tool as much as a development tool: it tells the audience what kind of sentence is scientifically allowed.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CELL_ENGINE_ARCHITECTURE.md; STATE.md §(c).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RUNTIME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Warp CUDA is the only simulation runtime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All authoritative physics kernels, PDE/KMC updates, neighbor queries, and mechanical iterations are GPU-resident Warp/CUDA. There is no CPU or HOOMD physics fallback.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0702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Python can configure, orchestrate, and postprocess. It cannot be the authoritative per-step state owner. Host readback belongs between accepted steps and is not a substitute for a device transaction.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constraint is part of reproducibility: a result from a forbidden CPU path is not a weaker physics result; it is outside the project’s evidence contract.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hard runtime contract.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RUNTIME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Native population is a scientific constraint, not a convenience setting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full physiological population is derived from density × geometry for each compartment. The project explicitly rejects lowering biological density to fit memory.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Npopulation = densityphysiological × geometrycompartment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6788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Coarse configurations may support development, structural tests, and diagnosis. They cannot support a biological conclusion that depends on population, geometry, topology, or compartments.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Exact active IDs, allocated state, node / head totals, and peak GPU bytes must be recorded for native claims.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CLAUDE.md; STATE.md evidence rules.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RUNTIME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Solver acceptance must be interpreted mechanistically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An inner solver can improve a numerical residual without making an active state physical. Conversely, an active steady state can have a nonzero local residual because discrete motor forcing is real.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r(x) = F(x) − J(x)ᵀλ;  report its definition, projection, time window, and acceptance rule.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606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project distinguishes operator closure, physical convergence, and dynamic stationarity. A predicate that checks adjoint wiring cannot be relabeled a convergence test.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Graduate readers should ask: what scalar was declared before the run, what field generated it, and what physical alternative could make it nonzero?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§(e); TRAJECTORY audit; ROLLING_ROADMAP.md.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PARAMETERS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Parameter provenance is part of the model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Every parameter must be classified as SOURCED, DERIVED, CONVENIENCE, or PI-GAP. The classification changes what a result may claim.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1759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sourced number has a verified provenance; a derived number has an explicit derivation; a convenience number cannot silently become physiology; a PI-GAP is an acknowledged missing value that blocks quantitative closure.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framework makes “unknown” a first-class output rather than an embarrassing omission.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PARAM_PROVENANCE_AUDIT_2026-07-24.md.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PARAMETERS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Examples of honest parameter limits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audit identified baseline quantities such as turgor, cortex segment length, representative filament length, and percolation-related density as convenience/proxy concerns in the inspected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315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NMII force-scale and kinetic parameters include PI-GAPs. That means a mechanism can be demonstrated while its reported tension magnitude remains non-quotable.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correct next action is evidence acquisition or PI decision, not tuning to make a gate pass.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PARAM_PROVENANCE_AUDIT_2026-07-24.md; STATE.md §(c).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PARAMETERS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Dimensional analysis is a first gate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Dimensionless groups expose whether a proposed sweep changes biology, numerics, or both. Examples include a motor load ratio, a bond-force scale, a poroelastic diffusion time, and a bending-to-stretching stiffness ratio.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Πmotor=F/Fstall;  Πbond=F xb/kBT;  τporo=L²/Dporo;  Πbend=κ/(ks L²)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8246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sweep must preserve declared units and state its operating point. Grid-dependent constants require a convergence / invariance argument before they are interpreted as molecular properties.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particularly important when numerical stiffness, capture radius, and reaction rates interact.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Standard nondimensional analysis; project parameter audit.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SWEEPS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Why brute-force parameter sweeps fail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mechanistic virtual cell has interacting continuous parameters, discrete topology, stochastic events, and expensive native runs. A regular grid suffers the curse of dimensionality: n levels across d variables costs nd evaluations.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Ngrid = n^d  (e.g., 10 levels across 12 parameters = 10¹² runs)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315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answer is not to hide uncertainty by tuning one parameter at a time. It is staged experimental design: screen, diagnose sensitivity and non-identifiability, then refine a posterior or decision boundary.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Native reference evaluations remain the oracle for any reduced, neural, or optimized method.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ROADMAP.md; project charter; standard design-of-experiments principle.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SWEEPS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Space-filling designs establish broad coverage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Latin hypercube, Sobol sequences, and constrained designs distribute candidate points across a prior domain more evenly than independent random draws.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Sobol / LHS objective: minimize gaps in a constrained prior domain Θphys.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3156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3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They should respect source-derived bounds, physical feasibility, and named PI-GAPs. They are not licenses to sample unphysical baseline states.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 practical unit of analysis is an observable bundle: morphology, force / work ledger, topology, event statistics, and an experimental measurement map.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ROADMAP.md; project parameter governance.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SWEEPS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Sensitivity analysis separates influential from identifiable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parameter can have a large local derivative and still be unidentifiable because another parameter produces the same observable change.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Si = Varθi[E(y|θi)] / Var(y),   STi = 1 − Varθ−i[E(y|θ−i)]/Var(y)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1759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Local sensitivities use ∂y/∂θ; global approaches partition output variance. Both should be computed on declared observables and at physiological operating points.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result should drive experiment choice: seek a modality that changes the posterior geometry, not only the simulation fit.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Saltelli-style sensitivity framework; inverse-problem framing in project charter.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SWEEPS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Bayesian optimization chooses expensive next runs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For an expensive native simulation, a probabilistic surrogate can predict an objective and its uncertainty. An acquisition function trades predicted value against information gain.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EI(x) = E[max(0, fbest − f(x))]  or choose x maximizing expected information gain.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5911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objective must never be “make a gate pass.” Valid goals include discrimination between mechanisms, reduction of posterior uncertainty, prediction error under a held-out experiment, or profiling of a declared bottleneck.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Every selected point is returned to the native simulator and its provenance is recorded.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Shahriyari et al., 2024 Bayesian optimization of physics models; ROADMAP.md.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SWEEPS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Multi-fidelity methods need an error model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lower-fidelity or reduced simulation can be useful only when its discrepancy from the native reference is measured over a declared domain.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yHF(x) = yLF(x) + δ(x),   p(y|θ) must include uncertainty in 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5911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standard decomposition is yHF(x)=yLF(x)+δ(x). The uncertainty in δ belongs in the likelihood or prediction interval; it cannot be buried in a footnote.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charter therefore treats a surrogate / reduced result as non-reference physics until a native comparison gate closes.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Choi et al., Comput Biol Med 2026; CLAUDE.md evidence rules.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NEURAL NETWORKS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Two neural layers: target architecture versus current maturity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charter distinguishes an inner network learned from this engine’s accepted runs from an outer network learned from external research. They are intentionally different training distributions and different evidence lanes.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Inner is Stage 2 and is not open: it has no declared target experiment and no accepted-run training corpus, so this report does not claim a trained simulator surrogate. Outer is Stage 4 and has an imported research pipeline; its external reference is ready, but comparison is BLOCKED as of 10 August 2026.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Both remain subordinate to native evidence, explicit observation definitions, and documented uncertainty. Neither can silently turn a literature value into a parameter.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aleph/inner/__init__.py; aleph/outer/__init__.py; STATE.md §(f), 2026-08-10; CLAUDE.md.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NEURAL NETWORKS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Simulator-based inference learns distributions, not just regressions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Neural posterior estimation trains a conditional density estimator qφ(θ|y) from simulated pairs (θ, y). Once trained, it can rapidly produce an approximate posterior for a new observation.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qφ(θ|y) ≈ p(θ|y);   L(φ)=−Eθ,y~sim[log qφ(θ|y)]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This is valuable when likelihoods are intractable because the simulator contains topology changes and stochastic events. But calibration, simulation coverage, and model discrepancy remain visible quantities.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 posterior must be checked with posterior predictive simulations and coverage diagnostics.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Gonçalves et al., eLife 2020; project charter.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NEURAL NETWORKS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Surrogates accelerate queries, not validation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surrogate maps a parameter / condition to selected observables, ŷ=fφ(θ, u). It may reduce cost for optimization, experimental design, and fast sensitivity screening.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ŷ = fφ(θ,u),   loss = Σ||y−ŷ||² + calibration / uncertainty terms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It must carry uncertainty and out-of-distribution detection. Its prediction is not a native result; it is a proposal that needs a native confirmation before it closes a physics gate.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Training sets must contain accepted physical runs, plus rejected / infeasible labels where they are meaningful to the decision.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evidence rules; Choi et al. 2026.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NEURAL NETWORKS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Physics-aware learning uses constraints without pretending they solve identifiability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Mechanistic residuals, conservation penalties, symmetry, and graph structure can regularize a neural model. For example, forces may be represented as an energy gradient for conservative submodules.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Ltotal = Ldata + λr ||rphysics||² + λc ||C(x)||²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Active motors and KMC topology remain non-conservative and stochastic; a single energy-based network cannot erase those facts.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strongest pattern is gray-box: explicit simulator + learned observation, discrepancy, or posterior model with a measured error budget.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Physics-informed / gray-box modeling literature; project work model.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NEURAL NETWORKS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Graph neural networks match connector topology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component–connector graph naturally provides nodes with state summaries and edges with typed mechanical relations. A GNN can learn reduced operators, anomaly detectors, or dispatch-cost predictors.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hᵥ^(l+1)=ϕ(hᵥ^(l), Σu∈N(v) ψ(hᵥ^(l), hu^(l), euv))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graph must preserve component identity, direction / adjoint semantics, and transaction boundaries. It may not create unregistered mechanical edges simply because two embeddings are similar.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Use cases include learned preconditioners, performance models, and posterior summaries—not unrestricted topology invention.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CELL_ENGINE_ARCHITECTURE.md; standard message-passing GNN notation.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NEURAL NETWORKS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Neural operators may map fields across conditions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neural operator targets functions: it can learn a map from parameter fields and boundary conditions to response fields. This is attractive for repeated observation maps or coarse proposals.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G: a(x) ↦ u(x);  learn Gφ over a declared function-space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For Aleph, any neural operator must preserve the declared domain, boundary condition, units, and error statistics against native GPU data.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It should be benchmarked on full compartments and native population, not only on a convenient stripped configuration.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native-reference rule; neural operator literature.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INFERENCE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Observation models connect simulation to experiment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same latent cell state can be observed through image features, traction fields, AFM force curves, micropipette deformation, ablation response, or molecular occupancy proxies.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yobs = H[x(t;θ,z)] + εmeas,   εmeas ~ chosen noise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2937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observation operator H must include instrument geometry, noise, and sampling. Comparing a simulation’s raw internal force to a measured projection without H is a category error.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where experimental design becomes a system-identification problem rather than a visualization exercise.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in silico inverse-problem framework (PMID 26309811).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INFERENCE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Posterior predictive checking is the scientific feedback loop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After inferring θ and z, draw posterior samples, rerun the simulator, and compare predicted observables with held-out or non-fitted measurements.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yrep ~ p(y|θ,z,M),  compare T(yrep) to T(yobs)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1759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parameter posterior can look tight while the model family is wrong. Posterior predictive residuals reveal systematic mismatch, missing mechanisms, or an inadequate measurement model.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Failures should create a traceable hypothesis or connector / parameter question, not an undocumented tolerance adjustment.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Bayesian workflow; CLAUDE.md evidence rules.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INFERENCE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Mechanism selection must compete models, not narrate a favorite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If multiple connector hypotheses or kinetic laws explain a measurement, evaluate their predictive adequacy and uncertainty. A model index M can be part of the posterior.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p(M|y) ∝ p(y|M) p(M)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1759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goal is not necessarily one winner. It may be a set of models that remain observationally equivalent under the current experiment.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next experiment should target the observable on which their posterior predictive distributions diverge.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systems-biology inverse-problem literature.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CURRENT EVIDENCE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What is established and may be discussed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state registry contains carefully scoped Tier-(a) entries. Examples include native full-population build/step evidence, GPU-residency gate evidence, native ECM constitutive sign evidence, and structural/ownership proofs.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These statements are narrow by design. For example, tension may emerge from binding events without authorizing a reported physical magnitude.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report intentionally uses project evidence labels rather than upgrading mechanism, wiring, native scale, and convergence into one headline.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§(b), last verified 2026-08-10.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CURRENT EVIDENCE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What must not be claimed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project maintains an explicit non-quotable blocklist: e.g., several old γ magnitudes, connected-rung claims, coarse crawl rates, and results from a reduced population or insufficient physical duration.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This is not a weakness to hide in a talk. It is the methodological center of a credible virtual-cell program: a result is restricted until the evidence that would make it physical exists.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Audience-facing recommendation: label every result slide with the evidence type and the remaining disqualifier.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§(c); STATE_NONQUOTABLE.md.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CURRENT WORK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The active architecture is broad, but production evidence is staged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canonical engine has 38/38 structural connector closure, while the registry still reports zero device-run connectors. R1 focuses on exact-one dispatch; R2–R7 bind native mechanics, ECM, load paths, connectivity, protrusions, and chemistry.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current roadmap intentionally does not leap from graph closure to a full-cell production claim. It treats every component and connector as a separate evidence path.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biological breadth is a strength only if each new path closes reactions, transactions, ledgers, and native evidence.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STATE.md §(a), §(f); ROLLING_ROADMAP.md R1–R7.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CURRENT WORK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Traction spine: the highest-value connected experiment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near-term causal experiment is the active SF–FA–ECM load path: NMII changes stress-fiber tension, focal adhesion occupancy, collagen displacement, and far-field reaction.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NMII → SF → FA → integrin–collagen joint → ECM → far-field reaction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8668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8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path requires a composite series joint, explicit capture / catch-bond law, accepted topology events, and force/work/ATP ledgers. A generic callback is not connected biology.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Once closed, this path is an ideal target for traction microscopy, ablation, and perturbation-informed inference.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ROLLING_ROADMAP.md R3–R4; STATE.md §(f).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CURRENT WORK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Protrusion, transport, and whole-cell composition remain future evidence waves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Lamellipodium / filopodium actors require explicit branching, polymerization, capping, severing, membrane contact, and cytosol exchange. Transported chemistry must drive event hazards, not appear only as a postprocessed field.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6788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first whole-cell native baseline comes only after the full actor set and ledgers exist. It requires exact population and peak-memory records, convergence / stationarity definition, figures, and run artifacts.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a roadmap—not a claim that the full dynamic cell has already been solved.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ROLLING_ROADMAP.md R6–R8.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VALIDATION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Validation is a lattice, not one benchmark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Each production mechanism should cross dimensional analysis, limiting cases, analytic acceptance oracles, mesh / population convergence, stochastic ensembles, and literature-response tests.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A closed-form relation is an acceptance oracle, never a replacement runtime mechanism. A test suite only proves the questions it actually asks.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strongest validation artifacts include raw observables, predeclared projections, protocol metadata, source provenance, and figures generated alongside the run.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CLAUDE.md; ROLLING_ROADMAP.md R14.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OPTIMIZATION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Measure the system before optimizing it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The charter states that filament count is not assumed to be the dominant cost; fluid-grid and moving-boundary work can dominate. Consequently, fidelity is not the first trade-off.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Costtotal = Σcomponents Cc + Σconnectors Ce + Csolver + Cfields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6366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performance atlas must report wall time, launches, occupancy, bandwidth, memory, nonlinear iterations, spatial-query cost, and event density by component, connector family, and solver phase.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Optimization candidates include device work queues, kernel fusion, topology-aware scheduling, and spatial-query reuse—but only with ON/OFF native parity evidence.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CLAUDE.md; ROLLING_ROADMAP.md R10–R11.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OPTIMIZATION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Why native reference precedes reduction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Later waves may introduce reduced nuclear modes, resolution adaptation, local refinement, sleeping, multirate scheduling, and multi-GPU partitioning.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Compare reduced vs native over a declared domain D:  supx∈D ||Ored(x)−Onative(x)|| ≤ εdeclared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6366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Each is a mapping from reference state to altered representation. The mapping must preserve declared response spectra, transient work, topology / identity, event statistics, and perturbation outcomes.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native full population remains the oracle, not the slow baseline to be quietly abandoned.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ROLLING_ROADMAP.md R11–R13; CLAUDE.md.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APPLICATIONS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How a cell-mechanics lab could use Aleph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Use Aleph to plan discriminative experiments: identify parameter / mechanism combinations that remain ambiguous under current imaging, then choose perturbations or measurement modalities predicted to separate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293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Use the native simulator for ground-truth candidate responses; use surrogates for fast candidate selection; use posterior inference to return uncertainty rather than one fit.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Examples: distinguish adhesion kinetics from motor-force changes, test nucleus-coupled load transfer, or identify ECM remodeling regimes.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ROADMAP.md; simulator-based inference literature.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APPLICATIONS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Experimental campaign template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1. Declare a physiological baseline and measurement map. 2. Register parameters and provenance. 3. Generate constrained simulator designs. 4. Run accepted native reference cases. 5. Train / calibrate a posterior estimator or surrogate. 6. Choose the next discriminative experiment. 7. Recompute posterior predictive checks.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2937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Every stage writes artifacts and preserves the possibility that the current mechanism set is insufficient.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is compatible with AFM, traction microscopy, live-cell imaging, micropipette aspiration, laser ablation, and drug perturbation, provided the observation operator is explicit.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inverse-problem workflow (PMID 26309811).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APPLICATIONS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Neural-network training data should be designed, not harvested blindly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useful training set spans source-constrained parameter ranges, relevant geometries, perturbations, and stochastic seeds. It includes failure / infeasibility labels where those are meaningful.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Dataset record = {θ, z0, protocol, seed, evidence, population, observables, commit}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Data splits should hold out conditions or experimental modalities, not merely random time frames from the same trajectory. Calibration is evaluated with coverage and posterior predictive error.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Metadata should record code commit, population, evidence class, operating point, observable definition, and parameter provenance.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provenance and evidence rules; Gonçalves et al., eLife 2020.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APPLICATIONS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A practical inference stack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Layer 1: native Warp simulator produces accepted, self-stamped reference runs. Layer 2: feature / observation map produces experiment-comparable summaries. Layer 3: posterior estimator and surrogate quantify uncertainty. Layer 4: active-learning controller selects the next native run or physical experiment.</w:t>
      </w:r>
    </w:p>
    <w:p>
      <w:pPr>
        <w:spacing w:before="100" w:after="100"/>
        <w:jc w:val="center"/>
      </w:pPr>
      <w:r>
        <w:rPr>
          <w:rFonts w:ascii="Aptos" w:hAnsi="Aptos"/>
          <w:b/>
          <w:i w:val="0"/>
          <w:color w:val="102A43"/>
          <w:sz w:val="24"/>
        </w:rPr>
        <w:t>θ → simulator → x(t) → H(x) → y;  yobs → qφ(θ,z,M | yobs)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6540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6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controller never overwrites the evidence ladder. It only prioritizes information acquisition.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This modularity makes model discrepancy and out-of-distribution behavior visible at the interfaces.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Gonçalves et al. 2020.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RISKS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Failure modes to surface in a graduate presentation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Do not show coarse or reduced runs as biological conclusions. Do not convert a source gap into a tuned constant. Do not treat connector declaration as runtime force dispatch. Do not treat a green structural suite as native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8639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Do not hide failed or retracted earlier results; they motivated better controls. Do not call a learned surrogate “physics” without an error model and native comparison.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These are general lessons in computational cell mechanics, not merely local repository rules.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CLAUDE.md; TRAJECTORY audit; STATE.md §(c).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RISKS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Reproducibility and governance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record must stamp its build, population, device, accepted-step protocol, and evidence status. Result figures should be generated beside the record. Parameter and literature provenance should be traceable.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0702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0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The project’s Notion Contract-Graph and materialized knowledge layers serve this traceability, but an audited source is still necessary before a deliverable cites it.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PI-gated changes—thresholds, magic-number triggers, parameter sourcing, mechanistic choices, and frozen contracts—are proposals, not autonomous edits.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CLAUDE.md knowledge-base and closeout rules; STATE.md §(e).</w:t>
      </w:r>
    </w:p>
    <w:p>
      <w:r>
        <w:br w:type="page"/>
      </w:r>
    </w:p>
    <w:p>
      <w:pPr>
        <w:spacing w:before="0" w:after="60" w:line="283" w:lineRule="auto"/>
      </w:pPr>
      <w:r>
        <w:rPr>
          <w:rFonts w:ascii="Aptos" w:hAnsi="Aptos"/>
          <w:b/>
          <w:i w:val="0"/>
          <w:color w:val="16A6B6"/>
          <w:sz w:val="17"/>
        </w:rPr>
        <w:t>TEACHING CLOSE</w:t>
      </w:r>
    </w:p>
    <w:p>
      <w:pPr>
        <w:spacing w:before="0" w:after="140" w:line="283" w:lineRule="auto"/>
      </w:pPr>
      <w:r>
        <w:rPr>
          <w:rFonts w:ascii="Aptos" w:hAnsi="Aptos"/>
          <w:b/>
          <w:i w:val="0"/>
          <w:color w:val="102A43"/>
          <w:sz w:val="38"/>
        </w:rPr>
        <w:t>What students should take away</w:t>
      </w:r>
    </w:p>
    <w:p>
      <w:pPr>
        <w:spacing w:before="0" w:after="1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A virtual cell is strongest when it makes assumptions inspectable, not when it produces the prettiest trajectory. The mechanism, the measurement, and the uncertainty have to travel together.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06788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67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Aptos" w:hAnsi="Aptos"/>
          <w:b w:val="0"/>
          <w:i w:val="0"/>
          <w:color w:val="1E293B"/>
          <w:sz w:val="19"/>
        </w:rPr>
        <w:t>For Aleph, this means explicit components, bidirectional connectors, accepted-step transactions, native reference evidence, provenance-aware parameters, and neural tools that accelerate rather than obscure inference.</w:t>
      </w:r>
    </w:p>
    <w:p>
      <w:pPr>
        <w:spacing w:before="0" w:after="60" w:line="283" w:lineRule="auto"/>
      </w:pPr>
      <w:r>
        <w:rPr>
          <w:rFonts w:ascii="Aptos" w:hAnsi="Aptos"/>
          <w:b w:val="0"/>
          <w:i/>
          <w:color w:val="52616B"/>
          <w:sz w:val="18"/>
        </w:rPr>
        <w:t>The research opportunity is to turn cellular mechanics experiments into iterative, hypothesis-discriminating posterior updates.</w:t>
      </w:r>
    </w:p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Project charter; current engine roadmap.</w:t>
      </w:r>
    </w:p>
    <w:p>
      <w:r>
        <w:br w:type="page"/>
      </w:r>
    </w:p>
    <w:p>
      <w:pPr>
        <w:spacing w:before="0" w:after="160" w:line="283" w:lineRule="auto"/>
      </w:pPr>
      <w:r>
        <w:rPr>
          <w:rFonts w:ascii="Aptos" w:hAnsi="Aptos"/>
          <w:b/>
          <w:i w:val="0"/>
          <w:color w:val="102A43"/>
          <w:sz w:val="44"/>
        </w:rPr>
        <w:t>Formula sheet</w:t>
      </w:r>
    </w:p>
    <w:p>
      <w:pPr>
        <w:spacing w:before="0" w:after="16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Representative equations used throughout the report. Symbols must be instantiated with declared units, sources, boundary conditions, and evidence scope before they support a project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Topic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02A43"/>
                <w:sz w:val="18"/>
              </w:rPr>
              <w:t>Representative equation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Constrained mechanics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 ẋ = Fint + Fext − Jᵀλ ; g(x)=0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Filament energy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Efil = ∫[½ks(|∂sr|−1)² + ½κ|∂²sr|²]ds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Membrane energy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Emem = ∫S[κm/2(2H−C0)²+γm]dA − ΔPV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Motor force–velocity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v(F)=v0(1−F/Fstall)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KMC event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P=1−exp(−λΔt)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Bell off-rate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koff(F)=koff,0 exp(Fxb/kBT)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Poroelasticity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 ṗ+α ε̇v+∇·q=s; q=−(k/μ)∇p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Connector reaction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Fa←b+Fb←a=0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Bayesian posterior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p(z,θ,M|y)∝p(y|z,θ,M)p(z,θ|M)p(M)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Neural posterior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qφ(θ|y)≈p(θ|y); L=−E log qφ(θ|y)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Sobol index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Si=Varθi[E(y|θi)]/Var(y)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Multifidelity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yHF=yLF+δ</w:t>
            </w:r>
          </w:p>
        </w:tc>
      </w:tr>
    </w:tbl>
    <w:p>
      <w:pPr>
        <w:spacing w:before="60" w:after="0" w:line="240" w:lineRule="auto"/>
      </w:pPr>
      <w:r>
        <w:rPr>
          <w:rFonts w:ascii="Aptos" w:hAnsi="Aptos"/>
          <w:b/>
          <w:i w:val="0"/>
          <w:color w:val="52616B"/>
          <w:sz w:val="15"/>
        </w:rPr>
        <w:t xml:space="preserve">Sources / scope: </w:t>
      </w:r>
      <w:r>
        <w:rPr>
          <w:rFonts w:ascii="Aptos" w:hAnsi="Aptos"/>
          <w:b w:val="0"/>
          <w:i w:val="0"/>
          <w:color w:val="52616B"/>
          <w:sz w:val="15"/>
        </w:rPr>
        <w:t>Definitions and scope are given in the relevant report pages; project-specific acceptance criteria live in project primary records.</w:t>
      </w:r>
    </w:p>
    <w:p>
      <w:r>
        <w:br w:type="page"/>
      </w:r>
    </w:p>
    <w:p>
      <w:pPr>
        <w:spacing w:before="0" w:after="160" w:line="283" w:lineRule="auto"/>
      </w:pPr>
      <w:r>
        <w:rPr>
          <w:rFonts w:ascii="Aptos" w:hAnsi="Aptos"/>
          <w:b/>
          <w:i w:val="0"/>
          <w:color w:val="102A43"/>
          <w:sz w:val="44"/>
        </w:rPr>
        <w:t>Selected sources</w:t>
      </w:r>
    </w:p>
    <w:p>
      <w:pPr>
        <w:spacing w:before="0" w:after="20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Project records are the authority for project status; the external sources below provide conceptual / theoretical context. This reference list is intentionally selective rather than a parameter ledger.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Project primary records. </w:t>
      </w:r>
      <w:r>
        <w:rPr>
          <w:rFonts w:ascii="Aptos" w:hAnsi="Aptos"/>
          <w:b w:val="0"/>
          <w:i w:val="0"/>
          <w:color w:val="1E293B"/>
          <w:sz w:val="20"/>
        </w:rPr>
        <w:t>CLAUDE.md (project charter, read 2026-08-10); STATE.md (last verified 2026-08-10); ROADMAP.md; aleph/docs/v2_audit/TRAJECTORY_HOW_WE_GOT_TO_AC_2026-07-25.md; aleph/docs/v2_audit/cell_engine/CELL_ENGINE_ARCHITECTURE.md; aleph/docs/v2_audit/cell_engine/ROLLING_ROADMAP.md; aleph/docs/v2_audit/PARAM_PROVENANCE_AUDIT_2026-07-24.md.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Gonçalves et al.. </w:t>
      </w:r>
      <w:r>
        <w:rPr>
          <w:rFonts w:ascii="Aptos" w:hAnsi="Aptos"/>
          <w:b w:val="0"/>
          <w:i w:val="0"/>
          <w:color w:val="1E293B"/>
          <w:sz w:val="20"/>
        </w:rPr>
        <w:t>Training deep neural density estimators to identify mechanistic models of neural dynamics. eLife 2020;9:e56261. PMID: 32940606.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Engelhardt et al.. </w:t>
      </w:r>
      <w:r>
        <w:rPr>
          <w:rFonts w:ascii="Aptos" w:hAnsi="Aptos"/>
          <w:b w:val="0"/>
          <w:i w:val="0"/>
          <w:color w:val="1E293B"/>
          <w:sz w:val="20"/>
        </w:rPr>
        <w:t>A Bayesian approach to estimating hidden variables as well as missing and wrong molecular interactions in ordinary differential equation-based mathematical models. J R Soc Interface 2017. PMID: 28615495.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Choi et al.. </w:t>
      </w:r>
      <w:r>
        <w:rPr>
          <w:rFonts w:ascii="Aptos" w:hAnsi="Aptos"/>
          <w:b w:val="0"/>
          <w:i w:val="0"/>
          <w:color w:val="1E293B"/>
          <w:sz w:val="20"/>
        </w:rPr>
        <w:t>On the performance of multi-fidelity and reduced-dimensional neural emulators for inference of physiological boundary conditions. Comput Biol Med 2026. PMID: 41406632.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Moeendarbary et al.. </w:t>
      </w:r>
      <w:r>
        <w:rPr>
          <w:rFonts w:ascii="Aptos" w:hAnsi="Aptos"/>
          <w:b w:val="0"/>
          <w:i w:val="0"/>
          <w:color w:val="1E293B"/>
          <w:sz w:val="20"/>
        </w:rPr>
        <w:t>The cytoplasm of living cells behaves as a poroelastic material. Nature Materials 2013.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Nédélec et al.. </w:t>
      </w:r>
      <w:r>
        <w:rPr>
          <w:rFonts w:ascii="Aptos" w:hAnsi="Aptos"/>
          <w:b w:val="0"/>
          <w:i w:val="0"/>
          <w:color w:val="1E293B"/>
          <w:sz w:val="20"/>
        </w:rPr>
        <w:t>A model for large-scale simulations of cytoskeletal dynamics. New Journal of Physics 2007;9:427.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Wear et al.. </w:t>
      </w:r>
      <w:r>
        <w:rPr>
          <w:rFonts w:ascii="Aptos" w:hAnsi="Aptos"/>
          <w:b w:val="0"/>
          <w:i w:val="0"/>
          <w:color w:val="1E293B"/>
          <w:sz w:val="20"/>
        </w:rPr>
        <w:t>Actin dynamics: assembly and disassembly of actin networks. Current Biology 2000. PMID: 11137023.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Bieling et al.. </w:t>
      </w:r>
      <w:r>
        <w:rPr>
          <w:rFonts w:ascii="Aptos" w:hAnsi="Aptos"/>
          <w:b w:val="0"/>
          <w:i w:val="0"/>
          <w:color w:val="1E293B"/>
          <w:sz w:val="20"/>
        </w:rPr>
        <w:t>The molecular mechanism of load adaptation by branched actin networks. eLife 2022. PMID: 35748355.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Shahriyari et al.. </w:t>
      </w:r>
      <w:r>
        <w:rPr>
          <w:rFonts w:ascii="Aptos" w:hAnsi="Aptos"/>
          <w:b w:val="0"/>
          <w:i w:val="0"/>
          <w:color w:val="1E293B"/>
          <w:sz w:val="20"/>
        </w:rPr>
        <w:t>Reverse engineering morphogenesis through Bayesian optimization of physics-based models. 2024. PMID: 38714708.</w:t>
      </w:r>
    </w:p>
    <w:p>
      <w:pPr>
        <w:spacing w:after="140"/>
      </w:pPr>
      <w:r>
        <w:rPr>
          <w:rFonts w:ascii="Aptos" w:hAnsi="Aptos"/>
          <w:b/>
          <w:i w:val="0"/>
          <w:color w:val="102A43"/>
          <w:sz w:val="20"/>
        </w:rPr>
        <w:t xml:space="preserve">In silico inverse problems. </w:t>
      </w:r>
      <w:r>
        <w:rPr>
          <w:rFonts w:ascii="Aptos" w:hAnsi="Aptos"/>
          <w:b w:val="0"/>
          <w:i w:val="0"/>
          <w:color w:val="1E293B"/>
          <w:sz w:val="20"/>
        </w:rPr>
        <w:t>In silico model-based inference: an emerging approach for inverse problems in engineering better medicines. Curr Opin Chem Eng 2015. PMID: 26309811.</w:t>
      </w:r>
    </w:p>
    <w:p>
      <w:pPr>
        <w:spacing w:before="280" w:after="80" w:line="283" w:lineRule="auto"/>
      </w:pPr>
      <w:r>
        <w:rPr>
          <w:rFonts w:ascii="Aptos" w:hAnsi="Aptos"/>
          <w:b/>
          <w:i w:val="0"/>
          <w:color w:val="16A6B6"/>
          <w:sz w:val="26"/>
        </w:rPr>
        <w:t>Status disclaimer</w:t>
      </w:r>
    </w:p>
    <w:p>
      <w:pPr>
        <w:spacing w:before="0" w:after="0" w:line="283" w:lineRule="auto"/>
      </w:pPr>
      <w:r>
        <w:rPr>
          <w:rFonts w:ascii="Aptos" w:hAnsi="Aptos"/>
          <w:b w:val="0"/>
          <w:i w:val="0"/>
          <w:color w:val="1E293B"/>
          <w:sz w:val="21"/>
        </w:rPr>
        <w:t>This report is an educational synthesis. It does not certify a new simulation result, change a gate, source a parameter, or close a PI decision. For a current claim, consult STATE.md and the linked committed artifact before quotation.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16B"/>
        <w:sz w:val="14"/>
      </w:rPr>
      <w:t>Educational report · status snapshot 10 August 2026 · formulas are representative theory, not unqualified project measurements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2616B"/>
        <w:sz w:val="16"/>
      </w:rPr>
      <w:t>ALEPH  |  MECHANISTIC VIRTUAL CELL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A6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454A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