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600" w:after="240"/>
        <w:jc w:val="center"/>
      </w:pPr>
      <w:r>
        <w:rPr>
          <w:rFonts w:ascii="Aptos" w:hAnsi="Aptos"/>
          <w:b/>
          <w:i w:val="0"/>
          <w:color w:val="102A43"/>
          <w:sz w:val="56"/>
        </w:rPr>
        <w:t>ALEPH PRESENTATION</w:t>
        <w:br/>
        <w:t>SPEAKER SCRIPT</w:t>
      </w:r>
    </w:p>
    <w:p>
      <w:pPr>
        <w:jc w:val="center"/>
      </w:pPr>
      <w:r>
        <w:rPr>
          <w:rFonts w:ascii="Aptos" w:hAnsi="Aptos"/>
          <w:b w:val="0"/>
          <w:i w:val="0"/>
          <w:color w:val="52616B"/>
          <w:sz w:val="24"/>
        </w:rPr>
        <w:t>English narration for the 43-slide graduate cell mechanics deck</w:t>
      </w:r>
    </w:p>
    <w:p>
      <w:pPr>
        <w:spacing w:before="600"/>
        <w:jc w:val="center"/>
      </w:pPr>
      <w:r>
        <w:rPr>
          <w:rFonts w:ascii="Aptos" w:hAnsi="Aptos"/>
          <w:b w:val="0"/>
          <w:i/>
          <w:color w:val="52616B"/>
          <w:sz w:val="20"/>
        </w:rPr>
        <w:t>Status scope: 10 August 2026</w:t>
      </w:r>
    </w:p>
    <w:p>
      <w:r>
        <w:br w:type="page"/>
      </w:r>
    </w:p>
    <w:p>
      <w:pPr>
        <w:pStyle w:val="Heading2"/>
      </w:pPr>
      <w:r>
        <w:t>Slide 01 — Welcome</w:t>
      </w:r>
    </w:p>
    <w:p>
      <w:pPr>
        <w:spacing w:after="140"/>
      </w:pPr>
      <w:r>
        <w:rPr>
          <w:rFonts w:ascii="Aptos" w:hAnsi="Aptos"/>
          <w:b w:val="0"/>
          <w:i w:val="0"/>
          <w:color w:val="1E293B"/>
          <w:sz w:val="21"/>
        </w:rPr>
        <w:t>Welcome. This talk reconstructs the lineage from ffn_cellsim, through the separate Project_Aleph experimental tree, to the current Aleph successor. The central claim is not that we have a finished simulated cell. It is that we are building a mechanism-first instrument that reports uncertainty and evidence boundaries alongside predictions.</w:t>
      </w:r>
    </w:p>
    <w:p>
      <w:pPr>
        <w:spacing w:after="260"/>
      </w:pPr>
      <w:r>
        <w:rPr>
          <w:rFonts w:ascii="Aptos" w:hAnsi="Aptos"/>
          <w:b/>
          <w:i w:val="0"/>
          <w:color w:val="52616B"/>
          <w:sz w:val="17"/>
        </w:rPr>
        <w:t xml:space="preserve">Sources: </w:t>
      </w:r>
      <w:r>
        <w:rPr>
          <w:rFonts w:ascii="Aptos" w:hAnsi="Aptos"/>
          <w:b w:val="0"/>
          <w:i w:val="0"/>
          <w:color w:val="52616B"/>
          <w:sz w:val="17"/>
        </w:rPr>
        <w:t>Project records: CLAUDE.md; STATE.md (10 Aug 2026); CELL_ENGINE_ARCHITECTURE.md; ROLLING_ROADMAP.md.</w:t>
      </w:r>
    </w:p>
    <w:p>
      <w:pPr>
        <w:pStyle w:val="Heading2"/>
      </w:pPr>
      <w:r>
        <w:t>Slide 02 — The goal</w:t>
      </w:r>
    </w:p>
    <w:p>
      <w:pPr>
        <w:spacing w:after="140"/>
      </w:pPr>
      <w:r>
        <w:rPr>
          <w:rFonts w:ascii="Aptos" w:hAnsi="Aptos"/>
          <w:b w:val="0"/>
          <w:i w:val="0"/>
          <w:color w:val="1E293B"/>
          <w:sz w:val="21"/>
        </w:rPr>
        <w:t>The goal. By the end of the talk, I want you to see Aleph as a system-identification program. The mechanics engine is necessary but not sufficient. The product is a posterior over state, mechanisms, and parameters, together with an honest statement of what the data cannot determine.</w:t>
      </w:r>
    </w:p>
    <w:p>
      <w:pPr>
        <w:spacing w:after="260"/>
      </w:pPr>
      <w:r>
        <w:rPr>
          <w:rFonts w:ascii="Aptos" w:hAnsi="Aptos"/>
          <w:b/>
          <w:i w:val="0"/>
          <w:color w:val="52616B"/>
          <w:sz w:val="17"/>
        </w:rPr>
        <w:t xml:space="preserve">Sources: </w:t>
      </w:r>
      <w:r>
        <w:rPr>
          <w:rFonts w:ascii="Aptos" w:hAnsi="Aptos"/>
          <w:b w:val="0"/>
          <w:i w:val="0"/>
          <w:color w:val="52616B"/>
          <w:sz w:val="17"/>
        </w:rPr>
        <w:t>Project records: CLAUDE.md; STATE.md (10 Aug 2026); CELL_ENGINE_ARCHITECTURE.md; ROLLING_ROADMAP.md.</w:t>
      </w:r>
    </w:p>
    <w:p>
      <w:pPr>
        <w:pStyle w:val="Heading2"/>
      </w:pPr>
      <w:r>
        <w:t>Slide 03 — Lineage</w:t>
      </w:r>
    </w:p>
    <w:p>
      <w:pPr>
        <w:spacing w:after="140"/>
      </w:pPr>
      <w:r>
        <w:rPr>
          <w:rFonts w:ascii="Aptos" w:hAnsi="Aptos"/>
          <w:b w:val="0"/>
          <w:i w:val="0"/>
          <w:color w:val="1E293B"/>
          <w:sz w:val="21"/>
        </w:rPr>
        <w:t>Lineage. The historical story is useful because it is not a triumphal march. Structural audit showed that a model can have many local tests and still lack the load paths required for a scientific conclusion. Aleph retains mechanisms selectively, but rebuilds the composition contract around ownership, connectors, and evidence.</w:t>
      </w:r>
    </w:p>
    <w:p>
      <w:pPr>
        <w:spacing w:after="260"/>
      </w:pPr>
      <w:r>
        <w:rPr>
          <w:rFonts w:ascii="Aptos" w:hAnsi="Aptos"/>
          <w:b/>
          <w:i w:val="0"/>
          <w:color w:val="52616B"/>
          <w:sz w:val="17"/>
        </w:rPr>
        <w:t xml:space="preserve">Sources: </w:t>
      </w:r>
      <w:r>
        <w:rPr>
          <w:rFonts w:ascii="Aptos" w:hAnsi="Aptos"/>
          <w:b w:val="0"/>
          <w:i w:val="0"/>
          <w:color w:val="52616B"/>
          <w:sz w:val="17"/>
        </w:rPr>
        <w:t>TRAJECTORY_HOW_WE_GOT_TO_AC_2026-07-25.md; AUDIT_WHOLE_REPO_2026-07-25.md.</w:t>
      </w:r>
    </w:p>
    <w:p>
      <w:pPr>
        <w:pStyle w:val="Heading2"/>
      </w:pPr>
      <w:r>
        <w:t>Slide 04 — Selective migration</w:t>
      </w:r>
    </w:p>
    <w:p>
      <w:pPr>
        <w:spacing w:after="140"/>
      </w:pPr>
      <w:r>
        <w:rPr>
          <w:rFonts w:ascii="Aptos" w:hAnsi="Aptos"/>
          <w:b w:val="0"/>
          <w:i w:val="0"/>
          <w:color w:val="1E293B"/>
          <w:sz w:val="21"/>
        </w:rPr>
        <w:t>Selective migration. Project_Aleph was a separate experimental and replacement tree, not a coequal current project. The current repository selectively imported its external research-corpus pipeline, while rebuilding the mechanics composition and retaining the current charter and state registry as authority. This distinction prevents a historical result from being presented as current evidence.</w:t>
      </w:r>
    </w:p>
    <w:p>
      <w:pPr>
        <w:spacing w:after="260"/>
      </w:pPr>
      <w:r>
        <w:rPr>
          <w:rFonts w:ascii="Aptos" w:hAnsi="Aptos"/>
          <w:b/>
          <w:i w:val="0"/>
          <w:color w:val="52616B"/>
          <w:sz w:val="17"/>
        </w:rPr>
        <w:t xml:space="preserve">Sources: </w:t>
      </w:r>
      <w:r>
        <w:rPr>
          <w:rFonts w:ascii="Aptos" w:hAnsi="Aptos"/>
          <w:b w:val="0"/>
          <w:i w:val="0"/>
          <w:color w:val="52616B"/>
          <w:sz w:val="17"/>
        </w:rPr>
        <w:t>aleph/outer/__init__.py; STATE.md §(f), 2026-08-09; /Users/sw1/Project_Aleph/CLAUDE.md (historical context).</w:t>
      </w:r>
    </w:p>
    <w:p>
      <w:pPr>
        <w:pStyle w:val="Heading2"/>
      </w:pPr>
      <w:r>
        <w:t>Slide 05 — Decision matrix</w:t>
      </w:r>
    </w:p>
    <w:p>
      <w:pPr>
        <w:spacing w:after="140"/>
      </w:pPr>
      <w:r>
        <w:rPr>
          <w:rFonts w:ascii="Aptos" w:hAnsi="Aptos"/>
          <w:b w:val="0"/>
          <w:i w:val="0"/>
          <w:color w:val="1E293B"/>
          <w:sz w:val="21"/>
        </w:rPr>
        <w:t>Decision matrix. This is the design decision that connects the histories. We adopted useful research and provenance infrastructure. We rebuilt the architecture where the old import direction fused laws and assembly. We deferred learning until an experiment and accepted corpus exist. And we rejected alternate simulation authority because an oracle and a production mechanics runtime must not be the same convenient shortcut.</w:t>
      </w:r>
    </w:p>
    <w:p>
      <w:pPr>
        <w:spacing w:after="260"/>
      </w:pPr>
      <w:r>
        <w:rPr>
          <w:rFonts w:ascii="Aptos" w:hAnsi="Aptos"/>
          <w:b/>
          <w:i w:val="0"/>
          <w:color w:val="52616B"/>
          <w:sz w:val="17"/>
        </w:rPr>
        <w:t xml:space="preserve">Sources: </w:t>
      </w:r>
      <w:r>
        <w:rPr>
          <w:rFonts w:ascii="Aptos" w:hAnsi="Aptos"/>
          <w:b w:val="0"/>
          <w:i w:val="0"/>
          <w:color w:val="52616B"/>
          <w:sz w:val="17"/>
        </w:rPr>
        <w:t>aleph/outer/__init__.py; aleph/inner/__init__.py; aleph/tests/architecture/test_layer_directions.py; CLAUDE.md.</w:t>
      </w:r>
    </w:p>
    <w:p>
      <w:pPr>
        <w:pStyle w:val="Heading2"/>
      </w:pPr>
      <w:r>
        <w:t>Slide 06 — Rejected shortcuts</w:t>
      </w:r>
    </w:p>
    <w:p>
      <w:pPr>
        <w:spacing w:after="140"/>
      </w:pPr>
      <w:r>
        <w:rPr>
          <w:rFonts w:ascii="Aptos" w:hAnsi="Aptos"/>
          <w:b w:val="0"/>
          <w:i w:val="0"/>
          <w:color w:val="1E293B"/>
          <w:sz w:val="21"/>
        </w:rPr>
        <w:t>Rejected shortcuts. The rejected choices matter because all three can make a system look easier to simulate. But they remove the object we need to test: a force path, a state transition, or a native reference. The cost of explicitness is intentional; it makes the model scientifically falsifiable.</w:t>
      </w:r>
    </w:p>
    <w:p>
      <w:pPr>
        <w:spacing w:after="260"/>
      </w:pPr>
      <w:r>
        <w:rPr>
          <w:rFonts w:ascii="Aptos" w:hAnsi="Aptos"/>
          <w:b/>
          <w:i w:val="0"/>
          <w:color w:val="52616B"/>
          <w:sz w:val="17"/>
        </w:rPr>
        <w:t xml:space="preserve">Sources: </w:t>
      </w:r>
      <w:r>
        <w:rPr>
          <w:rFonts w:ascii="Aptos" w:hAnsi="Aptos"/>
          <w:b w:val="0"/>
          <w:i w:val="0"/>
          <w:color w:val="52616B"/>
          <w:sz w:val="17"/>
        </w:rPr>
        <w:t>CLAUDE.md hard contracts; CELL_ENGINE_ARCHITECTURE.md; ROLLING_ROADMAP.md.</w:t>
      </w:r>
    </w:p>
    <w:p>
      <w:pPr>
        <w:pStyle w:val="Heading2"/>
      </w:pPr>
      <w:r>
        <w:t>Slide 07 — Current census</w:t>
      </w:r>
    </w:p>
    <w:p>
      <w:pPr>
        <w:spacing w:after="140"/>
      </w:pPr>
      <w:r>
        <w:rPr>
          <w:rFonts w:ascii="Aptos" w:hAnsi="Aptos"/>
          <w:b w:val="0"/>
          <w:i w:val="0"/>
          <w:color w:val="1E293B"/>
          <w:sz w:val="21"/>
        </w:rPr>
        <w:t>Current census. Say the three numbers together. Fourteen components and thirty-eight connectors describe a structural census. Every connector names a runtime, but the registry explicitly records zero device-run connectors. Production cortex kernels do fire behind engine cortex. None of those facts licenses a whole-cell connected mechanics magnitude.</w:t>
      </w:r>
    </w:p>
    <w:p>
      <w:pPr>
        <w:spacing w:after="260"/>
      </w:pPr>
      <w:r>
        <w:rPr>
          <w:rFonts w:ascii="Aptos" w:hAnsi="Aptos"/>
          <w:b/>
          <w:i w:val="0"/>
          <w:color w:val="52616B"/>
          <w:sz w:val="17"/>
        </w:rPr>
        <w:t xml:space="preserve">Sources: </w:t>
      </w:r>
      <w:r>
        <w:rPr>
          <w:rFonts w:ascii="Aptos" w:hAnsi="Aptos"/>
          <w:b w:val="0"/>
          <w:i w:val="0"/>
          <w:color w:val="52616B"/>
          <w:sz w:val="17"/>
        </w:rPr>
        <w:t>STATE.md §(a), §(f), last verified 2026-08-10; CELL_ENGINE_ARCHITECTURE.md.</w:t>
      </w:r>
    </w:p>
    <w:p>
      <w:pPr>
        <w:pStyle w:val="Heading2"/>
      </w:pPr>
      <w:r>
        <w:t>Slide 08 — Representation visual</w:t>
      </w:r>
    </w:p>
    <w:p>
      <w:pPr>
        <w:spacing w:after="140"/>
      </w:pPr>
      <w:r>
        <w:rPr>
          <w:rFonts w:ascii="Aptos" w:hAnsi="Aptos"/>
          <w:b w:val="0"/>
          <w:i w:val="0"/>
          <w:color w:val="1E293B"/>
          <w:sz w:val="21"/>
        </w:rPr>
        <w:t>Representation visual. This is an intentionally schematic model anatomy. It is useful for explaining compartments, typed endpoints, and a proposed load path. It is not a data figure: neither the colours nor the geometry should be read as a validated force magnitude. I use it as an anatomy of the model, then move to the evidence ladder for what is established.</w:t>
      </w:r>
    </w:p>
    <w:p>
      <w:pPr>
        <w:spacing w:after="260"/>
      </w:pPr>
      <w:r>
        <w:rPr>
          <w:rFonts w:ascii="Aptos" w:hAnsi="Aptos"/>
          <w:b/>
          <w:i w:val="0"/>
          <w:color w:val="52616B"/>
          <w:sz w:val="17"/>
        </w:rPr>
        <w:t xml:space="preserve">Sources: </w:t>
      </w:r>
      <w:r>
        <w:rPr>
          <w:rFonts w:ascii="Aptos" w:hAnsi="Aptos"/>
          <w:b w:val="0"/>
          <w:i w:val="0"/>
          <w:color w:val="52616B"/>
          <w:sz w:val="17"/>
        </w:rPr>
        <w:t>CELL_ENGINE_ARCHITECTURE.md; STATE.md §(b)–(c).</w:t>
      </w:r>
    </w:p>
    <w:p>
      <w:pPr>
        <w:pStyle w:val="Heading2"/>
      </w:pPr>
      <w:r>
        <w:t>Slide 09 — Learning status</w:t>
      </w:r>
    </w:p>
    <w:p>
      <w:pPr>
        <w:spacing w:after="140"/>
      </w:pPr>
      <w:r>
        <w:rPr>
          <w:rFonts w:ascii="Aptos" w:hAnsi="Aptos"/>
          <w:b w:val="0"/>
          <w:i w:val="0"/>
          <w:color w:val="1E293B"/>
          <w:sz w:val="21"/>
        </w:rPr>
        <w:t>Learning status. This slide corrects an easy overstatement. The inner network is an intended stage, not a trained Aleph surrogate: it lacks a declared target experiment and accepted-run corpus. The outer research layer is real and has an imported pipeline, but current state records its external comparison as blocked. The mechanistic engine remains the reference oracle.</w:t>
      </w:r>
    </w:p>
    <w:p>
      <w:pPr>
        <w:spacing w:after="260"/>
      </w:pPr>
      <w:r>
        <w:rPr>
          <w:rFonts w:ascii="Aptos" w:hAnsi="Aptos"/>
          <w:b/>
          <w:i w:val="0"/>
          <w:color w:val="52616B"/>
          <w:sz w:val="17"/>
        </w:rPr>
        <w:t xml:space="preserve">Sources: </w:t>
      </w:r>
      <w:r>
        <w:rPr>
          <w:rFonts w:ascii="Aptos" w:hAnsi="Aptos"/>
          <w:b w:val="0"/>
          <w:i w:val="0"/>
          <w:color w:val="52616B"/>
          <w:sz w:val="17"/>
        </w:rPr>
        <w:t>aleph/inner/__init__.py; aleph/outer/__init__.py; STATE.md §(f), 2026-08-10; CLAUDE.md.</w:t>
      </w:r>
    </w:p>
    <w:p>
      <w:pPr>
        <w:pStyle w:val="Heading2"/>
      </w:pPr>
      <w:r>
        <w:t>Slide 10 — Inverse problem</w:t>
      </w:r>
    </w:p>
    <w:p>
      <w:pPr>
        <w:spacing w:after="140"/>
      </w:pPr>
      <w:r>
        <w:rPr>
          <w:rFonts w:ascii="Aptos" w:hAnsi="Aptos"/>
          <w:b w:val="0"/>
          <w:i w:val="0"/>
          <w:color w:val="1E293B"/>
          <w:sz w:val="21"/>
        </w:rPr>
        <w:t>Inverse problem. A force curve, a deformation, or a traction map is not a molecular state. It is a projection. The appropriate scientific object is therefore a posterior over latent state, parameters, and even competing mechanism classes. A single fit deletes correlations and non-identifiability from the answer.</w:t>
      </w:r>
    </w:p>
    <w:p>
      <w:pPr>
        <w:spacing w:after="260"/>
      </w:pPr>
      <w:r>
        <w:rPr>
          <w:rFonts w:ascii="Aptos" w:hAnsi="Aptos"/>
          <w:b/>
          <w:i w:val="0"/>
          <w:color w:val="52616B"/>
          <w:sz w:val="17"/>
        </w:rPr>
        <w:t xml:space="preserve">Sources: </w:t>
      </w:r>
      <w:r>
        <w:rPr>
          <w:rFonts w:ascii="Aptos" w:hAnsi="Aptos"/>
          <w:b w:val="0"/>
          <w:i w:val="0"/>
          <w:color w:val="52616B"/>
          <w:sz w:val="17"/>
        </w:rPr>
        <w:t>Gonçalves et al., eLife 2020 (PMID 32940606); Engelhardt et al. 2017 (PMID 28615495). Project records: CLAUDE.md; STATE.md (10 Aug 2026); CELL_ENGINE_ARCHITECTURE.md; ROLLING_ROADMAP.md.</w:t>
      </w:r>
    </w:p>
    <w:p>
      <w:pPr>
        <w:pStyle w:val="Heading2"/>
      </w:pPr>
      <w:r>
        <w:t>Slide 11 — Evidence ladder</w:t>
      </w:r>
    </w:p>
    <w:p>
      <w:pPr>
        <w:spacing w:after="140"/>
      </w:pPr>
      <w:r>
        <w:rPr>
          <w:rFonts w:ascii="Aptos" w:hAnsi="Aptos"/>
          <w:b w:val="0"/>
          <w:i w:val="0"/>
          <w:color w:val="1E293B"/>
          <w:sz w:val="21"/>
        </w:rPr>
        <w:t>Evidence ladder. This ladder is the most important visual to keep in mind. It stops us from making category mistakes. A declared connector is not yet a force path. A device run is not necessarily native. A native build is not a converged physical magnitude. The presentation uses these labels deliberately.</w:t>
      </w:r>
    </w:p>
    <w:p>
      <w:pPr>
        <w:spacing w:after="260"/>
      </w:pPr>
      <w:r>
        <w:rPr>
          <w:rFonts w:ascii="Aptos" w:hAnsi="Aptos"/>
          <w:b/>
          <w:i w:val="0"/>
          <w:color w:val="52616B"/>
          <w:sz w:val="17"/>
        </w:rPr>
        <w:t xml:space="preserve">Sources: </w:t>
      </w:r>
      <w:r>
        <w:rPr>
          <w:rFonts w:ascii="Aptos" w:hAnsi="Aptos"/>
          <w:b w:val="0"/>
          <w:i w:val="0"/>
          <w:color w:val="52616B"/>
          <w:sz w:val="17"/>
        </w:rPr>
        <w:t>CELL_ENGINE_ARCHITECTURE.md; STATE.md §(b)–(c).</w:t>
      </w:r>
    </w:p>
    <w:p>
      <w:pPr>
        <w:pStyle w:val="Heading2"/>
      </w:pPr>
      <w:r>
        <w:t>Slide 12 — State evolution</w:t>
      </w:r>
    </w:p>
    <w:p>
      <w:pPr>
        <w:spacing w:after="140"/>
      </w:pPr>
      <w:r>
        <w:rPr>
          <w:rFonts w:ascii="Aptos" w:hAnsi="Aptos"/>
          <w:b w:val="0"/>
          <w:i w:val="0"/>
          <w:color w:val="1E293B"/>
          <w:sz w:val="21"/>
        </w:rPr>
        <w:t>State evolution. At the highest level, the virtual cell combines constrained mechanics, field transport, and discrete event dynamics. The equation is a conceptual guide rather than a claim that every contributor is a simple potential. Active motors and kinetic events are deliberately non-conservative.</w:t>
      </w:r>
    </w:p>
    <w:p>
      <w:pPr>
        <w:spacing w:after="260"/>
      </w:pPr>
      <w:r>
        <w:rPr>
          <w:rFonts w:ascii="Aptos" w:hAnsi="Aptos"/>
          <w:b/>
          <w:i w:val="0"/>
          <w:color w:val="52616B"/>
          <w:sz w:val="17"/>
        </w:rPr>
        <w:t xml:space="preserve">Sources: </w:t>
      </w:r>
      <w:r>
        <w:rPr>
          <w:rFonts w:ascii="Aptos" w:hAnsi="Aptos"/>
          <w:b w:val="0"/>
          <w:i w:val="0"/>
          <w:color w:val="52616B"/>
          <w:sz w:val="17"/>
        </w:rPr>
        <w:t>Representative theory: Nédélec et al. 2007; Moeendarbary et al. 2013; standard constrained mechanics.</w:t>
      </w:r>
    </w:p>
    <w:p>
      <w:pPr>
        <w:pStyle w:val="Heading2"/>
      </w:pPr>
      <w:r>
        <w:t>Slide 13 — Filament mechanics</w:t>
      </w:r>
    </w:p>
    <w:p>
      <w:pPr>
        <w:spacing w:after="140"/>
      </w:pPr>
      <w:r>
        <w:rPr>
          <w:rFonts w:ascii="Aptos" w:hAnsi="Aptos"/>
          <w:b w:val="0"/>
          <w:i w:val="0"/>
          <w:color w:val="1E293B"/>
          <w:sz w:val="21"/>
        </w:rPr>
        <w:t>Filament mechanics. This is the minimum elastic picture: extension and bending are evaluated on explicit filaments. Aleph’s representation needs more than a generic mesh because attachment, turnover, branch history, and connector eligibility depend on individual identities. Regional cytoskeletal populations cannot be treated as labels on one shared filament set.</w:t>
      </w:r>
    </w:p>
    <w:p>
      <w:pPr>
        <w:spacing w:after="260"/>
      </w:pPr>
      <w:r>
        <w:rPr>
          <w:rFonts w:ascii="Aptos" w:hAnsi="Aptos"/>
          <w:b/>
          <w:i w:val="0"/>
          <w:color w:val="52616B"/>
          <w:sz w:val="17"/>
        </w:rPr>
        <w:t xml:space="preserve">Sources: </w:t>
      </w:r>
      <w:r>
        <w:rPr>
          <w:rFonts w:ascii="Aptos" w:hAnsi="Aptos"/>
          <w:b w:val="0"/>
          <w:i w:val="0"/>
          <w:color w:val="52616B"/>
          <w:sz w:val="17"/>
        </w:rPr>
        <w:t>Representative theory: Nédélec et al. 2007; Moeendarbary et al. 2013; standard constrained mechanics. Project records: CLAUDE.md; STATE.md (10 Aug 2026); CELL_ENGINE_ARCHITECTURE.md; ROLLING_ROADMAP.md.</w:t>
      </w:r>
    </w:p>
    <w:p>
      <w:pPr>
        <w:pStyle w:val="Heading2"/>
      </w:pPr>
      <w:r>
        <w:t>Slide 14 — Membrane and cortex</w:t>
      </w:r>
    </w:p>
    <w:p>
      <w:pPr>
        <w:spacing w:after="140"/>
      </w:pPr>
      <w:r>
        <w:rPr>
          <w:rFonts w:ascii="Aptos" w:hAnsi="Aptos"/>
          <w:b w:val="0"/>
          <w:i w:val="0"/>
          <w:color w:val="1E293B"/>
          <w:sz w:val="21"/>
        </w:rPr>
        <w:t>Membrane and cortex. The membrane equation describes bending, tension, and pressure work. It is not an excuse to collapse cortex into an effective tension. The mechanics happens through an explicit connector such as an ERM-mediated attachment, with endpoints, reactions, events, and a ledger.</w:t>
      </w:r>
    </w:p>
    <w:p>
      <w:pPr>
        <w:spacing w:after="260"/>
      </w:pPr>
      <w:r>
        <w:rPr>
          <w:rFonts w:ascii="Aptos" w:hAnsi="Aptos"/>
          <w:b/>
          <w:i w:val="0"/>
          <w:color w:val="52616B"/>
          <w:sz w:val="17"/>
        </w:rPr>
        <w:t xml:space="preserve">Sources: </w:t>
      </w:r>
      <w:r>
        <w:rPr>
          <w:rFonts w:ascii="Aptos" w:hAnsi="Aptos"/>
          <w:b w:val="0"/>
          <w:i w:val="0"/>
          <w:color w:val="52616B"/>
          <w:sz w:val="17"/>
        </w:rPr>
        <w:t>Helfrich membrane framework; CELL_ENGINE_ARCHITECTURE.md; PARAM_PROVENANCE_AUDIT_2026-07-24.md.</w:t>
      </w:r>
    </w:p>
    <w:p>
      <w:pPr>
        <w:pStyle w:val="Heading2"/>
      </w:pPr>
      <w:r>
        <w:t>Slide 15 — Actomyosin</w:t>
      </w:r>
    </w:p>
    <w:p>
      <w:pPr>
        <w:spacing w:after="140"/>
      </w:pPr>
      <w:r>
        <w:rPr>
          <w:rFonts w:ascii="Aptos" w:hAnsi="Aptos"/>
          <w:b w:val="0"/>
          <w:i w:val="0"/>
          <w:color w:val="1E293B"/>
          <w:sz w:val="21"/>
        </w:rPr>
        <w:t>Actomyosin. The Hill-like curve is a useful limit and a sanity oracle. It is not the runtime biology. The intended mechanism is head-resolved NMII whose binding, stroke, and detachment events change forces and reactions. That distinction matters whenever we claim emergent tension rather than impose a prestress.</w:t>
      </w:r>
    </w:p>
    <w:p>
      <w:pPr>
        <w:spacing w:after="260"/>
      </w:pPr>
      <w:r>
        <w:rPr>
          <w:rFonts w:ascii="Aptos" w:hAnsi="Aptos"/>
          <w:b/>
          <w:i w:val="0"/>
          <w:color w:val="52616B"/>
          <w:sz w:val="17"/>
        </w:rPr>
        <w:t xml:space="preserve">Sources: </w:t>
      </w:r>
      <w:r>
        <w:rPr>
          <w:rFonts w:ascii="Aptos" w:hAnsi="Aptos"/>
          <w:b w:val="0"/>
          <w:i w:val="0"/>
          <w:color w:val="52616B"/>
          <w:sz w:val="17"/>
        </w:rPr>
        <w:t>Project charter; PARAM_PROVENANCE_AUDIT_2026-07-24.md.</w:t>
      </w:r>
    </w:p>
    <w:p>
      <w:pPr>
        <w:pStyle w:val="Heading2"/>
      </w:pPr>
      <w:r>
        <w:t>Slide 16 — KMC transaction</w:t>
      </w:r>
    </w:p>
    <w:p>
      <w:pPr>
        <w:spacing w:after="140"/>
      </w:pPr>
      <w:r>
        <w:rPr>
          <w:rFonts w:ascii="Aptos" w:hAnsi="Aptos"/>
          <w:b w:val="0"/>
          <w:i w:val="0"/>
          <w:color w:val="1E293B"/>
          <w:sz w:val="21"/>
        </w:rPr>
        <w:t>KMC transaction. Event rates are continuous-time hazards, but events are not final just because they were sampled. They travel with a candidate mechanical step and commit only when the acceptance predicate accepts the physical step. This makes retries deterministic with respect to chemistry and topology.</w:t>
      </w:r>
    </w:p>
    <w:p>
      <w:pPr>
        <w:spacing w:after="260"/>
      </w:pPr>
      <w:r>
        <w:rPr>
          <w:rFonts w:ascii="Aptos" w:hAnsi="Aptos"/>
          <w:b/>
          <w:i w:val="0"/>
          <w:color w:val="52616B"/>
          <w:sz w:val="17"/>
        </w:rPr>
        <w:t xml:space="preserve">Sources: </w:t>
      </w:r>
      <w:r>
        <w:rPr>
          <w:rFonts w:ascii="Aptos" w:hAnsi="Aptos"/>
          <w:b w:val="0"/>
          <w:i w:val="0"/>
          <w:color w:val="52616B"/>
          <w:sz w:val="17"/>
        </w:rPr>
        <w:t>Project charter; ROLLING_ROADMAP.md R7.</w:t>
      </w:r>
    </w:p>
    <w:p>
      <w:pPr>
        <w:pStyle w:val="Heading2"/>
      </w:pPr>
      <w:r>
        <w:t>Slide 17 — Molecular clutch</w:t>
      </w:r>
    </w:p>
    <w:p>
      <w:pPr>
        <w:spacing w:after="140"/>
      </w:pPr>
      <w:r>
        <w:rPr>
          <w:rFonts w:ascii="Aptos" w:hAnsi="Aptos"/>
          <w:b w:val="0"/>
          <w:i w:val="0"/>
          <w:color w:val="1E293B"/>
          <w:sz w:val="21"/>
        </w:rPr>
        <w:t>Molecular clutch. Adhesion is not merely a boundary condition. Force changes bond lifetime, which changes load sharing, which changes force. Aleph needs a composite series joint across adhesion and collagen, with the kinetics, the elastic state, and the far-field reaction all within the accepted-step transaction.</w:t>
      </w:r>
    </w:p>
    <w:p>
      <w:pPr>
        <w:spacing w:after="260"/>
      </w:pPr>
      <w:r>
        <w:rPr>
          <w:rFonts w:ascii="Aptos" w:hAnsi="Aptos"/>
          <w:b/>
          <w:i w:val="0"/>
          <w:color w:val="52616B"/>
          <w:sz w:val="17"/>
        </w:rPr>
        <w:t xml:space="preserve">Sources: </w:t>
      </w:r>
      <w:r>
        <w:rPr>
          <w:rFonts w:ascii="Aptos" w:hAnsi="Aptos"/>
          <w:b w:val="0"/>
          <w:i w:val="0"/>
          <w:color w:val="52616B"/>
          <w:sz w:val="17"/>
        </w:rPr>
        <w:t>Bell-type kinetics; PARAM_PROVENANCE_AUDIT_2026-07-24.md; ROLLING_ROADMAP.md R3–R4.</w:t>
      </w:r>
    </w:p>
    <w:p>
      <w:pPr>
        <w:pStyle w:val="Heading2"/>
      </w:pPr>
      <w:r>
        <w:t>Slide 18 — Accepted-step transaction</w:t>
      </w:r>
    </w:p>
    <w:p>
      <w:pPr>
        <w:spacing w:after="140"/>
      </w:pPr>
      <w:r>
        <w:rPr>
          <w:rFonts w:ascii="Aptos" w:hAnsi="Aptos"/>
          <w:b w:val="0"/>
          <w:i w:val="0"/>
          <w:color w:val="1E293B"/>
          <w:sz w:val="21"/>
        </w:rPr>
        <w:t>Accepted-step transaction. This is a core architectural invariant. In a coupled active system, partial commits are unphysical. The same transaction decision must protect mechanical state, fields, topology, and event ledgers. That is why the architecture treats transaction participation as part of a connector contract.</w:t>
      </w:r>
    </w:p>
    <w:p>
      <w:pPr>
        <w:spacing w:after="260"/>
      </w:pPr>
      <w:r>
        <w:rPr>
          <w:rFonts w:ascii="Aptos" w:hAnsi="Aptos"/>
          <w:b/>
          <w:i w:val="0"/>
          <w:color w:val="52616B"/>
          <w:sz w:val="17"/>
        </w:rPr>
        <w:t xml:space="preserve">Sources: </w:t>
      </w:r>
      <w:r>
        <w:rPr>
          <w:rFonts w:ascii="Aptos" w:hAnsi="Aptos"/>
          <w:b w:val="0"/>
          <w:i w:val="0"/>
          <w:color w:val="52616B"/>
          <w:sz w:val="17"/>
        </w:rPr>
        <w:t>Project records: CLAUDE.md; STATE.md (10 Aug 2026); CELL_ENGINE_ARCHITECTURE.md; ROLLING_ROADMAP.md.</w:t>
      </w:r>
    </w:p>
    <w:p>
      <w:pPr>
        <w:pStyle w:val="Heading2"/>
      </w:pPr>
      <w:r>
        <w:t>Slide 19 — Canonical engine</w:t>
      </w:r>
    </w:p>
    <w:p>
      <w:pPr>
        <w:spacing w:after="140"/>
      </w:pPr>
      <w:r>
        <w:rPr>
          <w:rFonts w:ascii="Aptos" w:hAnsi="Aptos"/>
          <w:b w:val="0"/>
          <w:i w:val="0"/>
          <w:color w:val="1E293B"/>
          <w:sz w:val="21"/>
        </w:rPr>
        <w:t>Canonical engine. The canonical composition layer is aleph engine. It binds the laws layer to state-owning components. The graph visual is simplified, but the principle is exact: components own state; connectors are the only mechanical connections and have to carry dispatch, transaction, and ledger semantics.</w:t>
      </w:r>
    </w:p>
    <w:p>
      <w:pPr>
        <w:spacing w:after="260"/>
      </w:pPr>
      <w:r>
        <w:rPr>
          <w:rFonts w:ascii="Aptos" w:hAnsi="Aptos"/>
          <w:b/>
          <w:i w:val="0"/>
          <w:color w:val="52616B"/>
          <w:sz w:val="17"/>
        </w:rPr>
        <w:t xml:space="preserve">Sources: </w:t>
      </w:r>
      <w:r>
        <w:rPr>
          <w:rFonts w:ascii="Aptos" w:hAnsi="Aptos"/>
          <w:b w:val="0"/>
          <w:i w:val="0"/>
          <w:color w:val="52616B"/>
          <w:sz w:val="17"/>
        </w:rPr>
        <w:t>STATE.md §(a), 10 Aug 2026; CELL_ENGINE_ARCHITECTURE.md.</w:t>
      </w:r>
    </w:p>
    <w:p>
      <w:pPr>
        <w:pStyle w:val="Heading2"/>
      </w:pPr>
      <w:r>
        <w:t>Slide 20 — Components</w:t>
      </w:r>
    </w:p>
    <w:p>
      <w:pPr>
        <w:spacing w:after="140"/>
      </w:pPr>
      <w:r>
        <w:rPr>
          <w:rFonts w:ascii="Aptos" w:hAnsi="Aptos"/>
          <w:b w:val="0"/>
          <w:i w:val="0"/>
          <w:color w:val="1E293B"/>
          <w:sz w:val="21"/>
        </w:rPr>
        <w:t>Components. These examples show why ownership is a biological as well as computational concept. Cortex, stress fibers, lamellipodium, and filopodia must own disjoint filament populations. Surface, fluid, nucleus, adhesion, and ECM have different state lifecycles and laws, so treating them as one anonymous array hides the physics we need to test.</w:t>
      </w:r>
    </w:p>
    <w:p>
      <w:pPr>
        <w:spacing w:after="260"/>
      </w:pPr>
      <w:r>
        <w:rPr>
          <w:rFonts w:ascii="Aptos" w:hAnsi="Aptos"/>
          <w:b/>
          <w:i w:val="0"/>
          <w:color w:val="52616B"/>
          <w:sz w:val="17"/>
        </w:rPr>
        <w:t xml:space="preserve">Sources: </w:t>
      </w:r>
      <w:r>
        <w:rPr>
          <w:rFonts w:ascii="Aptos" w:hAnsi="Aptos"/>
          <w:b w:val="0"/>
          <w:i w:val="0"/>
          <w:color w:val="52616B"/>
          <w:sz w:val="17"/>
        </w:rPr>
        <w:t>STATE.md §(a); CELL_ENGINE_ARCHITECTURE.md.</w:t>
      </w:r>
    </w:p>
    <w:p>
      <w:pPr>
        <w:pStyle w:val="Heading2"/>
      </w:pPr>
      <w:r>
        <w:t>Slide 21 — Connector contract</w:t>
      </w:r>
    </w:p>
    <w:p>
      <w:pPr>
        <w:spacing w:after="140"/>
      </w:pPr>
      <w:r>
        <w:rPr>
          <w:rFonts w:ascii="Aptos" w:hAnsi="Aptos"/>
          <w:b w:val="0"/>
          <w:i w:val="0"/>
          <w:color w:val="1E293B"/>
          <w:sz w:val="21"/>
        </w:rPr>
        <w:t>Connector contract. For an audience used to constitutive models, think of a connector as the explicit site where a constitutive relation meets two state owners. It has a scope, signs, topology behavior, and observables. That makes a connection ablatable and testable, unlike an implicit coupling hidden in shared storage.</w:t>
      </w:r>
    </w:p>
    <w:p>
      <w:pPr>
        <w:spacing w:after="260"/>
      </w:pPr>
      <w:r>
        <w:rPr>
          <w:rFonts w:ascii="Aptos" w:hAnsi="Aptos"/>
          <w:b/>
          <w:i w:val="0"/>
          <w:color w:val="52616B"/>
          <w:sz w:val="17"/>
        </w:rPr>
        <w:t xml:space="preserve">Sources: </w:t>
      </w:r>
      <w:r>
        <w:rPr>
          <w:rFonts w:ascii="Aptos" w:hAnsi="Aptos"/>
          <w:b w:val="0"/>
          <w:i w:val="0"/>
          <w:color w:val="52616B"/>
          <w:sz w:val="17"/>
        </w:rPr>
        <w:t>CELL_ENGINE_ARCHITECTURE.md; ROLLING_ROADMAP.md R1.</w:t>
      </w:r>
    </w:p>
    <w:p>
      <w:pPr>
        <w:pStyle w:val="Heading2"/>
      </w:pPr>
      <w:r>
        <w:t>Slide 22 — Traction spine</w:t>
      </w:r>
    </w:p>
    <w:p>
      <w:pPr>
        <w:spacing w:after="140"/>
      </w:pPr>
      <w:r>
        <w:rPr>
          <w:rFonts w:ascii="Aptos" w:hAnsi="Aptos"/>
          <w:b w:val="0"/>
          <w:i w:val="0"/>
          <w:color w:val="1E293B"/>
          <w:sz w:val="21"/>
        </w:rPr>
        <w:t>Traction spine. This is the near-term experiment that connects many ideas in the talk. The target is a bidirectional causal chain from motor activity to far-field ECM reaction. Each arrow needs a real connector, a transaction path, and a ledger. Once this closes, it becomes a powerful experimental and inference target.</w:t>
      </w:r>
    </w:p>
    <w:p>
      <w:pPr>
        <w:spacing w:after="260"/>
      </w:pPr>
      <w:r>
        <w:rPr>
          <w:rFonts w:ascii="Aptos" w:hAnsi="Aptos"/>
          <w:b/>
          <w:i w:val="0"/>
          <w:color w:val="52616B"/>
          <w:sz w:val="17"/>
        </w:rPr>
        <w:t xml:space="preserve">Sources: </w:t>
      </w:r>
      <w:r>
        <w:rPr>
          <w:rFonts w:ascii="Aptos" w:hAnsi="Aptos"/>
          <w:b w:val="0"/>
          <w:i w:val="0"/>
          <w:color w:val="52616B"/>
          <w:sz w:val="17"/>
        </w:rPr>
        <w:t>ROLLING_ROADMAP.md R3–R4; STATE.md §(f).</w:t>
      </w:r>
    </w:p>
    <w:p>
      <w:pPr>
        <w:pStyle w:val="Heading2"/>
      </w:pPr>
      <w:r>
        <w:t>Slide 23 — Runtime contract</w:t>
      </w:r>
    </w:p>
    <w:p>
      <w:pPr>
        <w:spacing w:after="140"/>
      </w:pPr>
      <w:r>
        <w:rPr>
          <w:rFonts w:ascii="Aptos" w:hAnsi="Aptos"/>
          <w:b w:val="0"/>
          <w:i w:val="0"/>
          <w:color w:val="1E293B"/>
          <w:sz w:val="21"/>
        </w:rPr>
        <w:t>Runtime contract. Warp CUDA is not an optional acceleration layer. It is the only simulation runtime. Python can organize a run and inspect accepted state, but it cannot mutate authoritative physics inside the loop. This matters because the evidence contract excludes CPU and legacy HOOMD paths from development and validation.</w:t>
      </w:r>
    </w:p>
    <w:p>
      <w:pPr>
        <w:spacing w:after="260"/>
      </w:pPr>
      <w:r>
        <w:rPr>
          <w:rFonts w:ascii="Aptos" w:hAnsi="Aptos"/>
          <w:b/>
          <w:i w:val="0"/>
          <w:color w:val="52616B"/>
          <w:sz w:val="17"/>
        </w:rPr>
        <w:t xml:space="preserve">Sources: </w:t>
      </w:r>
      <w:r>
        <w:rPr>
          <w:rFonts w:ascii="Aptos" w:hAnsi="Aptos"/>
          <w:b w:val="0"/>
          <w:i w:val="0"/>
          <w:color w:val="52616B"/>
          <w:sz w:val="17"/>
        </w:rPr>
        <w:t>Project records: CLAUDE.md; STATE.md (10 Aug 2026); CELL_ENGINE_ARCHITECTURE.md; ROLLING_ROADMAP.md.</w:t>
      </w:r>
    </w:p>
    <w:p>
      <w:pPr>
        <w:pStyle w:val="Heading2"/>
      </w:pPr>
      <w:r>
        <w:t>Slide 24 — Parameter provenance</w:t>
      </w:r>
    </w:p>
    <w:p>
      <w:pPr>
        <w:spacing w:after="140"/>
      </w:pPr>
      <w:r>
        <w:rPr>
          <w:rFonts w:ascii="Aptos" w:hAnsi="Aptos"/>
          <w:b w:val="0"/>
          <w:i w:val="0"/>
          <w:color w:val="1E293B"/>
          <w:sz w:val="21"/>
        </w:rPr>
        <w:t>Parameter provenance. This four-way classification is one of Aleph’s practical innovations. It separates a sourced parameter from a derivation, an overt numerical convenience, and an acknowledged PI-gated gap. It lets us demonstrate a mechanism while withholding a magnitude that rests on an unsourced force scale.</w:t>
      </w:r>
    </w:p>
    <w:p>
      <w:pPr>
        <w:spacing w:after="260"/>
      </w:pPr>
      <w:r>
        <w:rPr>
          <w:rFonts w:ascii="Aptos" w:hAnsi="Aptos"/>
          <w:b/>
          <w:i w:val="0"/>
          <w:color w:val="52616B"/>
          <w:sz w:val="17"/>
        </w:rPr>
        <w:t xml:space="preserve">Sources: </w:t>
      </w:r>
      <w:r>
        <w:rPr>
          <w:rFonts w:ascii="Aptos" w:hAnsi="Aptos"/>
          <w:b w:val="0"/>
          <w:i w:val="0"/>
          <w:color w:val="52616B"/>
          <w:sz w:val="17"/>
        </w:rPr>
        <w:t>PARAM_PROVENANCE_AUDIT_2026-07-24.md; STATE.md §(c).</w:t>
      </w:r>
    </w:p>
    <w:p>
      <w:pPr>
        <w:pStyle w:val="Heading2"/>
      </w:pPr>
      <w:r>
        <w:t>Slide 25 — Sweeps</w:t>
      </w:r>
    </w:p>
    <w:p>
      <w:pPr>
        <w:spacing w:after="140"/>
      </w:pPr>
      <w:r>
        <w:rPr>
          <w:rFonts w:ascii="Aptos" w:hAnsi="Aptos"/>
          <w:b w:val="0"/>
          <w:i w:val="0"/>
          <w:color w:val="1E293B"/>
          <w:sz w:val="21"/>
        </w:rPr>
        <w:t>Sweeps. The curse of dimensionality is not a vague concern here. A regular grid becomes impossible almost immediately, and it would still fail to diagnose non-identifiability. The disciplined alternative starts with source-constrained coverage, then uses observations and uncertainty to decide which native runs or experiments are informative.</w:t>
      </w:r>
    </w:p>
    <w:p>
      <w:pPr>
        <w:spacing w:after="260"/>
      </w:pPr>
      <w:r>
        <w:rPr>
          <w:rFonts w:ascii="Aptos" w:hAnsi="Aptos"/>
          <w:b/>
          <w:i w:val="0"/>
          <w:color w:val="52616B"/>
          <w:sz w:val="17"/>
        </w:rPr>
        <w:t xml:space="preserve">Sources: </w:t>
      </w:r>
      <w:r>
        <w:rPr>
          <w:rFonts w:ascii="Aptos" w:hAnsi="Aptos"/>
          <w:b w:val="0"/>
          <w:i w:val="0"/>
          <w:color w:val="52616B"/>
          <w:sz w:val="17"/>
        </w:rPr>
        <w:t>ROADMAP.md; project parameter governance.</w:t>
      </w:r>
    </w:p>
    <w:p>
      <w:pPr>
        <w:pStyle w:val="Heading2"/>
      </w:pPr>
      <w:r>
        <w:t>Slide 26 — Designed sweeps</w:t>
      </w:r>
    </w:p>
    <w:p>
      <w:pPr>
        <w:spacing w:after="140"/>
      </w:pPr>
      <w:r>
        <w:rPr>
          <w:rFonts w:ascii="Aptos" w:hAnsi="Aptos"/>
          <w:b w:val="0"/>
          <w:i w:val="0"/>
          <w:color w:val="1E293B"/>
          <w:sz w:val="21"/>
        </w:rPr>
        <w:t>Designed sweeps. A good design is not trying to improve an arbitrary objective. It is trying to learn. We start with a feasible domain, assess which observables change with which parameters, then choose a point or experiment that is expected to reduce uncertainty or discriminate mechanisms.</w:t>
      </w:r>
    </w:p>
    <w:p>
      <w:pPr>
        <w:spacing w:after="260"/>
      </w:pPr>
      <w:r>
        <w:rPr>
          <w:rFonts w:ascii="Aptos" w:hAnsi="Aptos"/>
          <w:b/>
          <w:i w:val="0"/>
          <w:color w:val="52616B"/>
          <w:sz w:val="17"/>
        </w:rPr>
        <w:t xml:space="preserve">Sources: </w:t>
      </w:r>
      <w:r>
        <w:rPr>
          <w:rFonts w:ascii="Aptos" w:hAnsi="Aptos"/>
          <w:b w:val="0"/>
          <w:i w:val="0"/>
          <w:color w:val="52616B"/>
          <w:sz w:val="17"/>
        </w:rPr>
        <w:t>ROADMAP.md; standard design-of-experiments and inverse-problem practice.</w:t>
      </w:r>
    </w:p>
    <w:p>
      <w:pPr>
        <w:pStyle w:val="Heading2"/>
      </w:pPr>
      <w:r>
        <w:t>Slide 27 — Bayesian optimization</w:t>
      </w:r>
    </w:p>
    <w:p>
      <w:pPr>
        <w:spacing w:after="140"/>
      </w:pPr>
      <w:r>
        <w:rPr>
          <w:rFonts w:ascii="Aptos" w:hAnsi="Aptos"/>
          <w:b w:val="0"/>
          <w:i w:val="0"/>
          <w:color w:val="1E293B"/>
          <w:sz w:val="21"/>
        </w:rPr>
        <w:t>Bayesian optimization. Bayesian optimization is useful when a native run is costly. The surrogate proposes an informative candidate, but the native simulator remains the oracle. The acquisition function has to be scientific: uncertainty reduction, mechanism discrimination, or held-out prediction—not retroactive gate optimization.</w:t>
      </w:r>
    </w:p>
    <w:p>
      <w:pPr>
        <w:spacing w:after="260"/>
      </w:pPr>
      <w:r>
        <w:rPr>
          <w:rFonts w:ascii="Aptos" w:hAnsi="Aptos"/>
          <w:b/>
          <w:i w:val="0"/>
          <w:color w:val="52616B"/>
          <w:sz w:val="17"/>
        </w:rPr>
        <w:t xml:space="preserve">Sources: </w:t>
      </w:r>
      <w:r>
        <w:rPr>
          <w:rFonts w:ascii="Aptos" w:hAnsi="Aptos"/>
          <w:b w:val="0"/>
          <w:i w:val="0"/>
          <w:color w:val="52616B"/>
          <w:sz w:val="17"/>
        </w:rPr>
        <w:t>Shahriyari et al. 2024 (PMID 38714708); ROADMAP.md.</w:t>
      </w:r>
    </w:p>
    <w:p>
      <w:pPr>
        <w:pStyle w:val="Heading2"/>
      </w:pPr>
      <w:r>
        <w:t>Slide 28 — Inner and outer neural layers</w:t>
      </w:r>
    </w:p>
    <w:p>
      <w:pPr>
        <w:spacing w:after="140"/>
      </w:pPr>
      <w:r>
        <w:rPr>
          <w:rFonts w:ascii="Aptos" w:hAnsi="Aptos"/>
          <w:b w:val="0"/>
          <w:i w:val="0"/>
          <w:color w:val="1E293B"/>
          <w:sz w:val="21"/>
        </w:rPr>
        <w:t>Inner and outer neural layers. The project names two neural layers. The inner model is trained on accepted simulator runs and can be a surrogate or posterior estimator. The outer model organizes external research and provenance. The important caveat is that neither layer gets to turn unverified literature or a convenient simulation into a validated quantitative claim.</w:t>
      </w:r>
    </w:p>
    <w:p>
      <w:pPr>
        <w:spacing w:after="260"/>
      </w:pPr>
      <w:r>
        <w:rPr>
          <w:rFonts w:ascii="Aptos" w:hAnsi="Aptos"/>
          <w:b/>
          <w:i w:val="0"/>
          <w:color w:val="52616B"/>
          <w:sz w:val="17"/>
        </w:rPr>
        <w:t xml:space="preserve">Sources: </w:t>
      </w:r>
      <w:r>
        <w:rPr>
          <w:rFonts w:ascii="Aptos" w:hAnsi="Aptos"/>
          <w:b w:val="0"/>
          <w:i w:val="0"/>
          <w:color w:val="52616B"/>
          <w:sz w:val="17"/>
        </w:rPr>
        <w:t>Project records: CLAUDE.md; STATE.md (10 Aug 2026); CELL_ENGINE_ARCHITECTURE.md; ROLLING_ROADMAP.md.</w:t>
      </w:r>
    </w:p>
    <w:p>
      <w:pPr>
        <w:pStyle w:val="Heading2"/>
      </w:pPr>
      <w:r>
        <w:t>Slide 29 — Simulator-based inference</w:t>
      </w:r>
    </w:p>
    <w:p>
      <w:pPr>
        <w:spacing w:after="140"/>
      </w:pPr>
      <w:r>
        <w:rPr>
          <w:rFonts w:ascii="Aptos" w:hAnsi="Aptos"/>
          <w:b w:val="0"/>
          <w:i w:val="0"/>
          <w:color w:val="1E293B"/>
          <w:sz w:val="21"/>
        </w:rPr>
        <w:t>Simulator-based inference. The neural network here is not a forward mechanics replacement. It is a conditional density estimator. We simulate parameter and observation pairs, train the estimator, then use it to infer a posterior for experimental data. We still need calibrated coverage, prior-domain awareness, and posterior predictive checks.</w:t>
      </w:r>
    </w:p>
    <w:p>
      <w:pPr>
        <w:spacing w:after="260"/>
      </w:pPr>
      <w:r>
        <w:rPr>
          <w:rFonts w:ascii="Aptos" w:hAnsi="Aptos"/>
          <w:b/>
          <w:i w:val="0"/>
          <w:color w:val="52616B"/>
          <w:sz w:val="17"/>
        </w:rPr>
        <w:t xml:space="preserve">Sources: </w:t>
      </w:r>
      <w:r>
        <w:rPr>
          <w:rFonts w:ascii="Aptos" w:hAnsi="Aptos"/>
          <w:b w:val="0"/>
          <w:i w:val="0"/>
          <w:color w:val="52616B"/>
          <w:sz w:val="17"/>
        </w:rPr>
        <w:t>Gonçalves et al., eLife 2020 (PMID 32940606); Engelhardt et al. 2017 (PMID 28615495). Project records: CLAUDE.md; STATE.md (10 Aug 2026); CELL_ENGINE_ARCHITECTURE.md; ROLLING_ROADMAP.md.</w:t>
      </w:r>
    </w:p>
    <w:p>
      <w:pPr>
        <w:pStyle w:val="Heading2"/>
      </w:pPr>
      <w:r>
        <w:t>Slide 30 — Gray-box learning</w:t>
      </w:r>
    </w:p>
    <w:p>
      <w:pPr>
        <w:spacing w:after="140"/>
      </w:pPr>
      <w:r>
        <w:rPr>
          <w:rFonts w:ascii="Aptos" w:hAnsi="Aptos"/>
          <w:b w:val="0"/>
          <w:i w:val="0"/>
          <w:color w:val="1E293B"/>
          <w:sz w:val="21"/>
        </w:rPr>
        <w:t>Gray-box learning. A gray-box strategy is the appropriate compromise. We keep the laws, state ownership, events, and connectors explicit; we learn expensive maps, discrepancy, or posterior density. The learned part must be calibrated against native reference runs and should tell us when it is being asked to extrapolate.</w:t>
      </w:r>
    </w:p>
    <w:p>
      <w:pPr>
        <w:spacing w:after="260"/>
      </w:pPr>
      <w:r>
        <w:rPr>
          <w:rFonts w:ascii="Aptos" w:hAnsi="Aptos"/>
          <w:b/>
          <w:i w:val="0"/>
          <w:color w:val="52616B"/>
          <w:sz w:val="17"/>
        </w:rPr>
        <w:t xml:space="preserve">Sources: </w:t>
      </w:r>
      <w:r>
        <w:rPr>
          <w:rFonts w:ascii="Aptos" w:hAnsi="Aptos"/>
          <w:b w:val="0"/>
          <w:i w:val="0"/>
          <w:color w:val="52616B"/>
          <w:sz w:val="17"/>
        </w:rPr>
        <w:t>Choi et al. 2026 (PMID 41406632); project charter.</w:t>
      </w:r>
    </w:p>
    <w:p>
      <w:pPr>
        <w:pStyle w:val="Heading2"/>
      </w:pPr>
      <w:r>
        <w:t>Slide 31 — Graph learning</w:t>
      </w:r>
    </w:p>
    <w:p>
      <w:pPr>
        <w:spacing w:after="140"/>
      </w:pPr>
      <w:r>
        <w:rPr>
          <w:rFonts w:ascii="Aptos" w:hAnsi="Aptos"/>
          <w:b w:val="0"/>
          <w:i w:val="0"/>
          <w:color w:val="1E293B"/>
          <w:sz w:val="21"/>
        </w:rPr>
        <w:t>Graph learning. The component–connector graph can guide a graph neural network. But its role is constrained: it may learn a reduced operator or cost predictor while preserving the declared topology. Similarity in a learned embedding is never a license to create a mechanical connector that has not been registered and validated.</w:t>
      </w:r>
    </w:p>
    <w:p>
      <w:pPr>
        <w:spacing w:after="260"/>
      </w:pPr>
      <w:r>
        <w:rPr>
          <w:rFonts w:ascii="Aptos" w:hAnsi="Aptos"/>
          <w:b/>
          <w:i w:val="0"/>
          <w:color w:val="52616B"/>
          <w:sz w:val="17"/>
        </w:rPr>
        <w:t xml:space="preserve">Sources: </w:t>
      </w:r>
      <w:r>
        <w:rPr>
          <w:rFonts w:ascii="Aptos" w:hAnsi="Aptos"/>
          <w:b w:val="0"/>
          <w:i w:val="0"/>
          <w:color w:val="52616B"/>
          <w:sz w:val="17"/>
        </w:rPr>
        <w:t>CELL_ENGINE_ARCHITECTURE.md; standard message-passing GNN formulation.</w:t>
      </w:r>
    </w:p>
    <w:p>
      <w:pPr>
        <w:pStyle w:val="Heading2"/>
      </w:pPr>
      <w:r>
        <w:t>Slide 32 — Observation model</w:t>
      </w:r>
    </w:p>
    <w:p>
      <w:pPr>
        <w:spacing w:after="140"/>
      </w:pPr>
      <w:r>
        <w:rPr>
          <w:rFonts w:ascii="Aptos" w:hAnsi="Aptos"/>
          <w:b w:val="0"/>
          <w:i w:val="0"/>
          <w:color w:val="1E293B"/>
          <w:sz w:val="21"/>
        </w:rPr>
        <w:t>Observation model. A good virtual-cell program meets experiments through an observation operator. The same state looks different to AFM, traction microscopy, imaging, aspiration, or ablation. If we compare a raw internal simulator force directly to a measured projection, we have skipped the instrument physics and likely made the wrong inference.</w:t>
      </w:r>
    </w:p>
    <w:p>
      <w:pPr>
        <w:spacing w:after="260"/>
      </w:pPr>
      <w:r>
        <w:rPr>
          <w:rFonts w:ascii="Aptos" w:hAnsi="Aptos"/>
          <w:b/>
          <w:i w:val="0"/>
          <w:color w:val="52616B"/>
          <w:sz w:val="17"/>
        </w:rPr>
        <w:t xml:space="preserve">Sources: </w:t>
      </w:r>
      <w:r>
        <w:rPr>
          <w:rFonts w:ascii="Aptos" w:hAnsi="Aptos"/>
          <w:b w:val="0"/>
          <w:i w:val="0"/>
          <w:color w:val="52616B"/>
          <w:sz w:val="17"/>
        </w:rPr>
        <w:t>In silico inverse-problem framework, PMID 26309811; project charter.</w:t>
      </w:r>
    </w:p>
    <w:p>
      <w:pPr>
        <w:pStyle w:val="Heading2"/>
      </w:pPr>
      <w:r>
        <w:t>Slide 33 — Current evidence</w:t>
      </w:r>
    </w:p>
    <w:p>
      <w:pPr>
        <w:spacing w:after="140"/>
      </w:pPr>
      <w:r>
        <w:rPr>
          <w:rFonts w:ascii="Aptos" w:hAnsi="Aptos"/>
          <w:b w:val="0"/>
          <w:i w:val="0"/>
          <w:color w:val="1E293B"/>
          <w:sz w:val="21"/>
        </w:rPr>
        <w:t>Current evidence. This slide is intentionally conservative. The state registry contains evidence that can be quoted, with tightly limited scope. It also contains a non-quotable list. For a graduate audience, this is the lesson: uncertainty and retraction are not defects in the workflow; they are controls against overclaiming.</w:t>
      </w:r>
    </w:p>
    <w:p>
      <w:pPr>
        <w:spacing w:after="260"/>
      </w:pPr>
      <w:r>
        <w:rPr>
          <w:rFonts w:ascii="Aptos" w:hAnsi="Aptos"/>
          <w:b/>
          <w:i w:val="0"/>
          <w:color w:val="52616B"/>
          <w:sz w:val="17"/>
        </w:rPr>
        <w:t xml:space="preserve">Sources: </w:t>
      </w:r>
      <w:r>
        <w:rPr>
          <w:rFonts w:ascii="Aptos" w:hAnsi="Aptos"/>
          <w:b w:val="0"/>
          <w:i w:val="0"/>
          <w:color w:val="52616B"/>
          <w:sz w:val="17"/>
        </w:rPr>
        <w:t>STATE.md §(b)–(c), last verified 10 Aug 2026.</w:t>
      </w:r>
    </w:p>
    <w:p>
      <w:pPr>
        <w:pStyle w:val="Heading2"/>
      </w:pPr>
      <w:r>
        <w:t>Slide 34 — Ongoing roadmap</w:t>
      </w:r>
    </w:p>
    <w:p>
      <w:pPr>
        <w:spacing w:after="140"/>
      </w:pPr>
      <w:r>
        <w:rPr>
          <w:rFonts w:ascii="Aptos" w:hAnsi="Aptos"/>
          <w:b w:val="0"/>
          <w:i w:val="0"/>
          <w:color w:val="1E293B"/>
          <w:sz w:val="21"/>
        </w:rPr>
        <w:t>Ongoing roadmap. The sequence matters. The project is closing dispatch and native bindings before making a whole-cell baseline claim. R3 and R4 are especially informative because they complete the ECM and active traction spine. Later waves add connectivity, protrusion, chemistry, then full native composition and systematic perturbation.</w:t>
      </w:r>
    </w:p>
    <w:p>
      <w:pPr>
        <w:spacing w:after="260"/>
      </w:pPr>
      <w:r>
        <w:rPr>
          <w:rFonts w:ascii="Aptos" w:hAnsi="Aptos"/>
          <w:b/>
          <w:i w:val="0"/>
          <w:color w:val="52616B"/>
          <w:sz w:val="17"/>
        </w:rPr>
        <w:t xml:space="preserve">Sources: </w:t>
      </w:r>
      <w:r>
        <w:rPr>
          <w:rFonts w:ascii="Aptos" w:hAnsi="Aptos"/>
          <w:b w:val="0"/>
          <w:i w:val="0"/>
          <w:color w:val="52616B"/>
          <w:sz w:val="17"/>
        </w:rPr>
        <w:t>ROLLING_ROADMAP.md R1–R10; STATE.md §(f).</w:t>
      </w:r>
    </w:p>
    <w:p>
      <w:pPr>
        <w:pStyle w:val="Heading2"/>
      </w:pPr>
      <w:r>
        <w:t>Slide 35 — Traction experiment</w:t>
      </w:r>
    </w:p>
    <w:p>
      <w:pPr>
        <w:spacing w:after="140"/>
      </w:pPr>
      <w:r>
        <w:rPr>
          <w:rFonts w:ascii="Aptos" w:hAnsi="Aptos"/>
          <w:b w:val="0"/>
          <w:i w:val="0"/>
          <w:color w:val="1E293B"/>
          <w:sz w:val="21"/>
        </w:rPr>
        <w:t>Traction experiment. The traction spine is attractive because every link suggests an observable and an ablation. It lets us ask whether a change in traction is more consistent with motor activity, adhesion kinetics, collagen mechanics, or some combination. The simulator can design that discriminating experiment, but only after the full connector path is physically bound.</w:t>
      </w:r>
    </w:p>
    <w:p>
      <w:pPr>
        <w:spacing w:after="260"/>
      </w:pPr>
      <w:r>
        <w:rPr>
          <w:rFonts w:ascii="Aptos" w:hAnsi="Aptos"/>
          <w:b/>
          <w:i w:val="0"/>
          <w:color w:val="52616B"/>
          <w:sz w:val="17"/>
        </w:rPr>
        <w:t xml:space="preserve">Sources: </w:t>
      </w:r>
      <w:r>
        <w:rPr>
          <w:rFonts w:ascii="Aptos" w:hAnsi="Aptos"/>
          <w:b w:val="0"/>
          <w:i w:val="0"/>
          <w:color w:val="52616B"/>
          <w:sz w:val="17"/>
        </w:rPr>
        <w:t>ROLLING_ROADMAP.md R3–R4; STATE.md §(f).</w:t>
      </w:r>
    </w:p>
    <w:p>
      <w:pPr>
        <w:pStyle w:val="Heading2"/>
      </w:pPr>
      <w:r>
        <w:t>Slide 36 — Whole cell target</w:t>
      </w:r>
    </w:p>
    <w:p>
      <w:pPr>
        <w:spacing w:after="140"/>
      </w:pPr>
      <w:r>
        <w:rPr>
          <w:rFonts w:ascii="Aptos" w:hAnsi="Aptos"/>
          <w:b w:val="0"/>
          <w:i w:val="0"/>
          <w:color w:val="1E293B"/>
          <w:sz w:val="21"/>
        </w:rPr>
        <w:t>Whole cell target. The completed virtual cell is not defined by putting all arrays in one process. It requires every actor and connector under the accepted-step transaction, at full physiological population, with ledger closure and a defensible stability or stationarity criterion. That is why whole-cell composition is near the end of the roadmap.</w:t>
      </w:r>
    </w:p>
    <w:p>
      <w:pPr>
        <w:spacing w:after="260"/>
      </w:pPr>
      <w:r>
        <w:rPr>
          <w:rFonts w:ascii="Aptos" w:hAnsi="Aptos"/>
          <w:b/>
          <w:i w:val="0"/>
          <w:color w:val="52616B"/>
          <w:sz w:val="17"/>
        </w:rPr>
        <w:t xml:space="preserve">Sources: </w:t>
      </w:r>
      <w:r>
        <w:rPr>
          <w:rFonts w:ascii="Aptos" w:hAnsi="Aptos"/>
          <w:b w:val="0"/>
          <w:i w:val="0"/>
          <w:color w:val="52616B"/>
          <w:sz w:val="17"/>
        </w:rPr>
        <w:t>ROLLING_ROADMAP.md R6–R8; project charter.</w:t>
      </w:r>
    </w:p>
    <w:p>
      <w:pPr>
        <w:pStyle w:val="Heading2"/>
      </w:pPr>
      <w:r>
        <w:t>Slide 37 — Validation lattice</w:t>
      </w:r>
    </w:p>
    <w:p>
      <w:pPr>
        <w:spacing w:after="140"/>
      </w:pPr>
      <w:r>
        <w:rPr>
          <w:rFonts w:ascii="Aptos" w:hAnsi="Aptos"/>
          <w:b w:val="0"/>
          <w:i w:val="0"/>
          <w:color w:val="1E293B"/>
          <w:sz w:val="21"/>
        </w:rPr>
        <w:t>Validation lattice. A robust mechanism crosses multiple kinds of evidence: units, limits, analytic checks, mesh and population behavior, stochastic variability, literature responses, and self-stamped native artifacts. No single agreement can substitute for the others. The project’s rule that oracles are not runtime mechanisms is central here.</w:t>
      </w:r>
    </w:p>
    <w:p>
      <w:pPr>
        <w:spacing w:after="260"/>
      </w:pPr>
      <w:r>
        <w:rPr>
          <w:rFonts w:ascii="Aptos" w:hAnsi="Aptos"/>
          <w:b/>
          <w:i w:val="0"/>
          <w:color w:val="52616B"/>
          <w:sz w:val="17"/>
        </w:rPr>
        <w:t xml:space="preserve">Sources: </w:t>
      </w:r>
      <w:r>
        <w:rPr>
          <w:rFonts w:ascii="Aptos" w:hAnsi="Aptos"/>
          <w:b w:val="0"/>
          <w:i w:val="0"/>
          <w:color w:val="52616B"/>
          <w:sz w:val="17"/>
        </w:rPr>
        <w:t>CLAUDE.md; ROLLING_ROADMAP.md R14.</w:t>
      </w:r>
    </w:p>
    <w:p>
      <w:pPr>
        <w:pStyle w:val="Heading2"/>
      </w:pPr>
      <w:r>
        <w:t>Slide 38 — System optimization</w:t>
      </w:r>
    </w:p>
    <w:p>
      <w:pPr>
        <w:spacing w:after="140"/>
      </w:pPr>
      <w:r>
        <w:rPr>
          <w:rFonts w:ascii="Aptos" w:hAnsi="Aptos"/>
          <w:b w:val="0"/>
          <w:i w:val="0"/>
          <w:color w:val="1E293B"/>
          <w:sz w:val="21"/>
        </w:rPr>
        <w:t>System optimization. Optimization begins after reference physics tells us what is expensive. The charter notes that moving boundaries and fluid grids can dominate, so reducing biological population would not necessarily solve a performance problem and would invalidate the biological conclusion. The performance atlas directs the next safe optimization.</w:t>
      </w:r>
    </w:p>
    <w:p>
      <w:pPr>
        <w:spacing w:after="260"/>
      </w:pPr>
      <w:r>
        <w:rPr>
          <w:rFonts w:ascii="Aptos" w:hAnsi="Aptos"/>
          <w:b/>
          <w:i w:val="0"/>
          <w:color w:val="52616B"/>
          <w:sz w:val="17"/>
        </w:rPr>
        <w:t xml:space="preserve">Sources: </w:t>
      </w:r>
      <w:r>
        <w:rPr>
          <w:rFonts w:ascii="Aptos" w:hAnsi="Aptos"/>
          <w:b w:val="0"/>
          <w:i w:val="0"/>
          <w:color w:val="52616B"/>
          <w:sz w:val="17"/>
        </w:rPr>
        <w:t>CLAUDE.md; ROLLING_ROADMAP.md R10–R12.</w:t>
      </w:r>
    </w:p>
    <w:p>
      <w:pPr>
        <w:pStyle w:val="Heading2"/>
      </w:pPr>
      <w:r>
        <w:t>Slide 39 — Experimental loop</w:t>
      </w:r>
    </w:p>
    <w:p>
      <w:pPr>
        <w:spacing w:after="140"/>
      </w:pPr>
      <w:r>
        <w:rPr>
          <w:rFonts w:ascii="Aptos" w:hAnsi="Aptos"/>
          <w:b w:val="0"/>
          <w:i w:val="0"/>
          <w:color w:val="1E293B"/>
          <w:sz w:val="21"/>
        </w:rPr>
        <w:t>Experimental loop. Here is the practical lab workflow. We begin by declaring a baseline and measurement model, not by fitting. We record provenance, run accepted native cases, train an uncertainty-aware inference layer, choose a new discriminating experiment, and test posterior predictions. The loop remains useful even if it reveals that the current mechanism set is insufficient.</w:t>
      </w:r>
    </w:p>
    <w:p>
      <w:pPr>
        <w:spacing w:after="260"/>
      </w:pPr>
      <w:r>
        <w:rPr>
          <w:rFonts w:ascii="Aptos" w:hAnsi="Aptos"/>
          <w:b/>
          <w:i w:val="0"/>
          <w:color w:val="52616B"/>
          <w:sz w:val="17"/>
        </w:rPr>
        <w:t xml:space="preserve">Sources: </w:t>
      </w:r>
      <w:r>
        <w:rPr>
          <w:rFonts w:ascii="Aptos" w:hAnsi="Aptos"/>
          <w:b w:val="0"/>
          <w:i w:val="0"/>
          <w:color w:val="52616B"/>
          <w:sz w:val="17"/>
        </w:rPr>
        <w:t>Project charter; PMID 26309811; Gonçalves et al. 2020.</w:t>
      </w:r>
    </w:p>
    <w:p>
      <w:pPr>
        <w:pStyle w:val="Heading2"/>
      </w:pPr>
      <w:r>
        <w:t>Slide 40 — Student exercise</w:t>
      </w:r>
    </w:p>
    <w:p>
      <w:pPr>
        <w:spacing w:after="140"/>
      </w:pPr>
      <w:r>
        <w:rPr>
          <w:rFonts w:ascii="Aptos" w:hAnsi="Aptos"/>
          <w:b w:val="0"/>
          <w:i w:val="0"/>
          <w:color w:val="1E293B"/>
          <w:sz w:val="21"/>
        </w:rPr>
        <w:t>Student exercise. For students, the right project is not to find one tuned parameter set. Take a real ambiguity, such as lost traction. Write competing mechanism hypotheses, design a perturbation and observation that separate their predictions, and require native reference evidence plus posterior predictive validation.</w:t>
      </w:r>
    </w:p>
    <w:p>
      <w:pPr>
        <w:spacing w:after="260"/>
      </w:pPr>
      <w:r>
        <w:rPr>
          <w:rFonts w:ascii="Aptos" w:hAnsi="Aptos"/>
          <w:b/>
          <w:i w:val="0"/>
          <w:color w:val="52616B"/>
          <w:sz w:val="17"/>
        </w:rPr>
        <w:t xml:space="preserve">Sources: </w:t>
      </w:r>
      <w:r>
        <w:rPr>
          <w:rFonts w:ascii="Aptos" w:hAnsi="Aptos"/>
          <w:b w:val="0"/>
          <w:i w:val="0"/>
          <w:color w:val="52616B"/>
          <w:sz w:val="17"/>
        </w:rPr>
        <w:t>Project charter; systems-biology inverse-problem practice.</w:t>
      </w:r>
    </w:p>
    <w:p>
      <w:pPr>
        <w:pStyle w:val="Heading2"/>
      </w:pPr>
      <w:r>
        <w:t>Slide 41 — Research questions</w:t>
      </w:r>
    </w:p>
    <w:p>
      <w:pPr>
        <w:spacing w:after="140"/>
      </w:pPr>
      <w:r>
        <w:rPr>
          <w:rFonts w:ascii="Aptos" w:hAnsi="Aptos"/>
          <w:b w:val="0"/>
          <w:i w:val="0"/>
          <w:color w:val="1E293B"/>
          <w:sz w:val="21"/>
        </w:rPr>
        <w:t>Research questions. These questions show the opportunity. Aleph’s value is not simply to predict a cell response faster. It is to clarify what needs to be measured next, which mechanisms are confounded, and which computational improvements preserve the biological representation.</w:t>
      </w:r>
    </w:p>
    <w:p>
      <w:pPr>
        <w:spacing w:after="260"/>
      </w:pPr>
      <w:r>
        <w:rPr>
          <w:rFonts w:ascii="Aptos" w:hAnsi="Aptos"/>
          <w:b/>
          <w:i w:val="0"/>
          <w:color w:val="52616B"/>
          <w:sz w:val="17"/>
        </w:rPr>
        <w:t xml:space="preserve">Sources: </w:t>
      </w:r>
      <w:r>
        <w:rPr>
          <w:rFonts w:ascii="Aptos" w:hAnsi="Aptos"/>
          <w:b w:val="0"/>
          <w:i w:val="0"/>
          <w:color w:val="52616B"/>
          <w:sz w:val="17"/>
        </w:rPr>
        <w:t>Project records: CLAUDE.md; STATE.md (10 Aug 2026); CELL_ENGINE_ARCHITECTURE.md; ROLLING_ROADMAP.md.</w:t>
      </w:r>
    </w:p>
    <w:p>
      <w:pPr>
        <w:pStyle w:val="Heading2"/>
      </w:pPr>
      <w:r>
        <w:t>Slide 42 — Conclusion</w:t>
      </w:r>
    </w:p>
    <w:p>
      <w:pPr>
        <w:spacing w:after="140"/>
      </w:pPr>
      <w:r>
        <w:rPr>
          <w:rFonts w:ascii="Aptos" w:hAnsi="Aptos"/>
          <w:b w:val="0"/>
          <w:i w:val="0"/>
          <w:color w:val="1E293B"/>
          <w:sz w:val="21"/>
        </w:rPr>
        <w:t>Conclusion. The core message is that a virtual cell is credible when it keeps three things together: representation, evidence, and uncertainty. Aleph’s components and connectors make mechanics explicit. Its transactions and native reference gates make computation auditable. Its probabilistic and neural layers make uncertainty useful for experiments.</w:t>
      </w:r>
    </w:p>
    <w:p>
      <w:pPr>
        <w:spacing w:after="260"/>
      </w:pPr>
      <w:r>
        <w:rPr>
          <w:rFonts w:ascii="Aptos" w:hAnsi="Aptos"/>
          <w:b/>
          <w:i w:val="0"/>
          <w:color w:val="52616B"/>
          <w:sz w:val="17"/>
        </w:rPr>
        <w:t xml:space="preserve">Sources: </w:t>
      </w:r>
      <w:r>
        <w:rPr>
          <w:rFonts w:ascii="Aptos" w:hAnsi="Aptos"/>
          <w:b w:val="0"/>
          <w:i w:val="0"/>
          <w:color w:val="52616B"/>
          <w:sz w:val="17"/>
        </w:rPr>
        <w:t>Project records: CLAUDE.md; STATE.md (10 Aug 2026); CELL_ENGINE_ARCHITECTURE.md; ROLLING_ROADMAP.md. Gonçalves et al., eLife 2020 (PMID 32940606); Engelhardt et al. 2017 (PMID 28615495).</w:t>
      </w:r>
    </w:p>
    <w:p>
      <w:pPr>
        <w:pStyle w:val="Heading2"/>
      </w:pPr>
      <w:r>
        <w:t>Slide 43 — Discussion</w:t>
      </w:r>
    </w:p>
    <w:p>
      <w:pPr>
        <w:spacing w:after="140"/>
      </w:pPr>
      <w:r>
        <w:rPr>
          <w:rFonts w:ascii="Aptos" w:hAnsi="Aptos"/>
          <w:b w:val="0"/>
          <w:i w:val="0"/>
          <w:color w:val="1E293B"/>
          <w:sz w:val="21"/>
        </w:rPr>
        <w:t>Discussion. I would close by inviting the audience to nominate a real measurement ambiguity from their work. The test is whether we can state the latent mechanisms, measurement map, competing predictions, and the next discriminating experiment. That is the practical standard this program aims to support.</w:t>
      </w:r>
    </w:p>
    <w:p>
      <w:pPr>
        <w:spacing w:after="260"/>
      </w:pPr>
      <w:r>
        <w:rPr>
          <w:rFonts w:ascii="Aptos" w:hAnsi="Aptos"/>
          <w:b/>
          <w:i w:val="0"/>
          <w:color w:val="52616B"/>
          <w:sz w:val="17"/>
        </w:rPr>
        <w:t xml:space="preserve">Sources: </w:t>
      </w:r>
      <w:r>
        <w:rPr>
          <w:rFonts w:ascii="Aptos" w:hAnsi="Aptos"/>
          <w:b w:val="0"/>
          <w:i w:val="0"/>
          <w:color w:val="52616B"/>
          <w:sz w:val="17"/>
        </w:rPr>
        <w:t>All sources cited in this slide and report reference appendix.</w:t>
      </w:r>
    </w:p>
    <w:sectPr w:rsidR="00FC693F" w:rsidRPr="0006063C" w:rsidSect="00034616">
      <w:pgSz w:w="12240" w:h="15840"/>
      <w:pgMar w:top="1224"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1"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2A4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A6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