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检索结论摘要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要点 1</w:t>
      </w:r>
    </w:p>
    <w:p>
      <w:r>
        <w:t xml:space="preserve">在作出最终法律意见前，应明确适用法律条款并核对最新修订版本。</w:t>
      </w:r>
    </w:p>
    <w:p>
      <w:r>
        <w:t xml:space="preserve">置信度：90%</w:t>
      </w:r>
    </w:p>
    <w:p>
      <w:r>
        <w:rPr>
          <w:i/>
          <w:iCs/>
          <w:sz w:val="18"/>
          <w:szCs w:val="18"/>
        </w:rPr>
        <w:t xml:space="preserve">【来源：60586859-5acc-41a2-9f95-d358985b6a39】</w:t>
      </w:r>
    </w:p>
    <w:p>
      <w:pPr>
        <w:pStyle w:val="Heading2"/>
      </w:pPr>
      <w:r>
        <w:t xml:space="preserve">风险提示</w:t>
      </w:r>
    </w:p>
    <w:p>
      <w:r>
        <w:t xml:space="preserve">- 当前为 smoke 数据，需替换为真实检索来源。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2026-03-17T06:30:45.578Z</dcterms:created>
  <dcterms:modified xsi:type="dcterms:W3CDTF">2026-03-17T06:30:45.578Z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