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20" w:lineRule="atLeast"/>
        <w:jc w:val="left"/>
      </w:pPr>
      <w:r>
        <w:rPr>
          <w:rFonts w:ascii="SimSun" w:cs="SimSun" w:eastAsia="SimSun" w:hAnsi="SimSun" w:hint="eastAsia"/>
          <w:color w:val="000000"/>
          <w:sz w:val="24"/>
          <w:szCs w:val="24"/>
        </w:rPr>
        <w:t xml:space="preserve">致：</w:t>
      </w:r>
    </w:p>
    <w:p>
      <w:pPr>
        <w:spacing w:after="0" w:before="0" w:line="320" w:lineRule="atLeast"/>
        <w:jc w:val="left"/>
      </w:pPr>
      <w:r>
        <w:rPr>
          <w:rFonts w:ascii="SimSun" w:cs="SimSun" w:eastAsia="SimSun" w:hAnsi="SimSun" w:hint="eastAsia"/>
          <w:color w:val="000000"/>
          <w:sz w:val="24"/>
          <w:szCs w:val="24"/>
        </w:rPr>
        <w:t xml:space="preserve">自：</w:t>
      </w:r>
    </w:p>
    <w:p>
      <w:pPr>
        <w:spacing w:after="0" w:before="0" w:line="320" w:lineRule="atLeast"/>
        <w:jc w:val="left"/>
      </w:pPr>
      <w:r>
        <w:rPr>
          <w:rFonts w:ascii="SimSun" w:cs="SimSun" w:eastAsia="SimSun" w:hAnsi="SimSun" w:hint="eastAsia"/>
          <w:color w:val="000000"/>
          <w:sz w:val="24"/>
          <w:szCs w:val="24"/>
        </w:rPr>
        <w:t xml:space="preserve">日期：2026 年 9 月 28 日</w:t>
      </w:r>
    </w:p>
    <w:p>
      <w:pPr>
        <w:spacing w:after="0" w:before="0" w:line="320" w:lineRule="atLeast"/>
        <w:jc w:val="left"/>
      </w:pPr>
      <w:r>
        <w:rPr>
          <w:rFonts w:ascii="SimSun" w:cs="SimSun" w:eastAsia="SimSun" w:hAnsi="SimSun" w:hint="eastAsia"/>
          <w:color w:val="000000"/>
          <w:sz w:val="24"/>
          <w:szCs w:val="24"/>
        </w:rPr>
        <w:t xml:space="preserve">事由：关于竞业限制补偿的法律备忘录</w:t>
      </w:r>
    </w:p>
    <w:p>
      <w:pPr>
        <w:spacing w:after="0" w:before="0" w:line="320" w:lineRule="atLeast"/>
        <w:jc w:val="left"/>
      </w:pPr>
      <w:r>
        <w:rPr>
          <w:rFonts w:ascii="SimSun" w:cs="SimSun" w:eastAsia="SimSun" w:hAnsi="SimSun" w:hint="eastAsia"/>
          <w:color w:val="000000"/>
          <w:sz w:val="24"/>
          <w:szCs w:val="24"/>
        </w:rPr>
        <w:t xml:space="preserve">保密：律师工作秘密，非经许可不得对外披露</w:t>
      </w:r>
    </w:p>
    <w:p>
      <w:pPr>
        <w:spacing w:after="480" w:before="480" w:line="320" w:lineRule="atLeast"/>
        <w:jc w:val="center"/>
      </w:pPr>
      <w:r>
        <w:rPr>
          <w:rFonts w:ascii="SimSun" w:cs="SimSun" w:eastAsia="SimSun" w:hAnsi="SimSun" w:hint="eastAsia"/>
          <w:b/>
          <w:bCs/>
          <w:color w:val="000000"/>
          <w:sz w:val="32"/>
          <w:szCs w:val="32"/>
        </w:rPr>
        <w:t xml:space="preserve">关于竞业限制补偿的法律备忘录</w:t>
      </w:r>
    </w:p>
    <w:p>
      <w:pPr>
        <w:spacing w:after="360" w:before="0" w:line="320" w:lineRule="atLeast"/>
        <w:ind w:firstLine="480"/>
      </w:pPr>
      <w:r>
        <w:rPr>
          <w:rFonts w:ascii="SimSun" w:cs="SimSun" w:eastAsia="SimSun" w:hAnsi="SimSun" w:hint="eastAsia"/>
          <w:b/>
          <w:bCs/>
          <w:color w:val="000000"/>
          <w:sz w:val="24"/>
          <w:szCs w:val="24"/>
        </w:rPr>
        <w:t xml:space="preserve">一、结论</w:t>
      </w:r>
    </w:p>
    <w:p>
      <w:pPr>
        <w:spacing w:after="360" w:line="320" w:lineRule="atLeast"/>
        <w:ind w:firstLine="480"/>
        <w:jc w:val="both"/>
      </w:pPr>
      <w:r>
        <w:rPr>
          <w:rFonts w:ascii="SimSun" w:cs="SimSun" w:eastAsia="SimSun" w:hAnsi="SimSun" w:hint="eastAsia"/>
          <w:color w:val="000000"/>
          <w:sz w:val="24"/>
          <w:szCs w:val="24"/>
        </w:rPr>
        <w:t xml:space="preserve">在现有材料下，补偿标准存在低于法定下限的风险，协议约束力可能受影响。</w:t>
      </w:r>
    </w:p>
    <w:p>
      <w:pPr>
        <w:spacing w:after="360" w:before="0" w:line="320" w:lineRule="atLeast"/>
        <w:ind w:firstLine="480"/>
      </w:pPr>
      <w:r>
        <w:rPr>
          <w:rFonts w:ascii="SimSun" w:cs="SimSun" w:eastAsia="SimSun" w:hAnsi="SimSun" w:hint="eastAsia"/>
          <w:b/>
          <w:bCs/>
          <w:color w:val="000000"/>
          <w:sz w:val="24"/>
          <w:szCs w:val="24"/>
        </w:rPr>
        <w:t xml:space="preserve">二、事实概要</w:t>
      </w:r>
    </w:p>
    <w:p>
      <w:pPr>
        <w:spacing w:after="360" w:line="320" w:lineRule="atLeast"/>
        <w:ind w:firstLine="480"/>
        <w:jc w:val="both"/>
      </w:pPr>
      <w:r>
        <w:rPr>
          <w:rFonts w:ascii="SimSun" w:cs="SimSun" w:eastAsia="SimSun" w:hAnsi="SimSun" w:hint="eastAsia"/>
          <w:color w:val="000000"/>
          <w:sz w:val="24"/>
          <w:szCs w:val="24"/>
        </w:rPr>
        <w:t xml:space="preserve">劳动者于离职时签署竞业限制协议。协议约定补偿按月支付，具体数额见附件。</w:t>
      </w:r>
    </w:p>
    <w:p>
      <w:pPr>
        <w:spacing w:after="360" w:before="0" w:line="320" w:lineRule="atLeast"/>
        <w:ind w:firstLine="480"/>
      </w:pPr>
      <w:r>
        <w:rPr>
          <w:rFonts w:ascii="SimSun" w:cs="SimSun" w:eastAsia="SimSun" w:hAnsi="SimSun" w:hint="eastAsia"/>
          <w:b/>
          <w:bCs/>
          <w:color w:val="000000"/>
          <w:sz w:val="24"/>
          <w:szCs w:val="24"/>
        </w:rPr>
        <w:t xml:space="preserve">三、法律分析</w:t>
      </w:r>
    </w:p>
    <w:p>
      <w:pPr>
        <w:spacing w:after="360" w:before="0" w:line="320" w:lineRule="atLeast"/>
        <w:ind w:firstLine="480"/>
      </w:pPr>
      <w:r>
        <w:rPr>
          <w:rFonts w:ascii="SimSun" w:cs="SimSun" w:eastAsia="SimSun" w:hAnsi="SimSun" w:hint="eastAsia"/>
          <w:b/>
          <w:bCs/>
          <w:color w:val="000000"/>
          <w:sz w:val="24"/>
          <w:szCs w:val="24"/>
        </w:rPr>
        <w:t xml:space="preserve">（一）补偿标准</w:t>
      </w:r>
    </w:p>
    <w:p>
      <w:pPr>
        <w:spacing w:after="360" w:before="0" w:line="320" w:lineRule="atLeast"/>
        <w:ind w:firstLine="480"/>
      </w:pPr>
      <w:r>
        <w:rPr>
          <w:rFonts w:ascii="SimSun" w:cs="SimSun" w:eastAsia="SimSun" w:hAnsi="SimSun" w:hint="eastAsia"/>
          <w:b/>
          <w:bCs/>
          <w:color w:val="000000"/>
          <w:sz w:val="24"/>
          <w:szCs w:val="24"/>
        </w:rPr>
        <w:t xml:space="preserve">1、规范依据</w:t>
      </w:r>
    </w:p>
    <w:p>
      <w:pPr>
        <w:spacing w:after="360" w:line="320" w:lineRule="atLeast"/>
        <w:ind w:firstLine="480"/>
        <w:jc w:val="both"/>
      </w:pPr>
      <w:r>
        <w:rPr>
          <w:rFonts w:ascii="SimSun" w:cs="SimSun" w:eastAsia="SimSun" w:hAnsi="SimSun" w:hint="eastAsia"/>
          <w:color w:val="000000"/>
          <w:sz w:val="24"/>
          <w:szCs w:val="24"/>
        </w:rPr>
        <w:t xml:space="preserve">依据相关规定，竞业限制补偿应不低于当地最低工资标准。</w:t>
      </w:r>
    </w:p>
    <w:p>
      <w:pPr>
        <w:spacing w:after="360" w:before="0" w:line="320" w:lineRule="atLeast"/>
        <w:ind w:firstLine="480"/>
      </w:pPr>
      <w:r>
        <w:rPr>
          <w:rFonts w:ascii="SimSun" w:cs="SimSun" w:eastAsia="SimSun" w:hAnsi="SimSun" w:hint="eastAsia"/>
          <w:b/>
          <w:bCs/>
          <w:color w:val="000000"/>
          <w:sz w:val="24"/>
          <w:szCs w:val="24"/>
        </w:rPr>
        <w:t xml:space="preserve">2、适用分析</w:t>
      </w:r>
    </w:p>
    <w:p>
      <w:pPr>
        <w:spacing w:after="360" w:line="320" w:lineRule="atLeast"/>
        <w:ind w:firstLine="480"/>
        <w:jc w:val="both"/>
      </w:pPr>
      <w:r>
        <w:rPr>
          <w:rFonts w:ascii="SimSun" w:cs="SimSun" w:eastAsia="SimSun" w:hAnsi="SimSun" w:hint="eastAsia"/>
          <w:color w:val="000000"/>
          <w:sz w:val="24"/>
          <w:szCs w:val="24"/>
        </w:rPr>
        <w:t xml:space="preserve">本案约定数额是否达标，需结合履行地最低工资核对。</w:t>
      </w:r>
    </w:p>
    <w:p>
      <w:pPr>
        <w:spacing w:after="360" w:before="0" w:line="320" w:lineRule="atLeast"/>
        <w:ind w:firstLine="480"/>
      </w:pPr>
      <w:r>
        <w:rPr>
          <w:rFonts w:ascii="SimSun" w:cs="SimSun" w:eastAsia="SimSun" w:hAnsi="SimSun" w:hint="eastAsia"/>
          <w:b/>
          <w:bCs/>
          <w:color w:val="000000"/>
          <w:sz w:val="24"/>
          <w:szCs w:val="24"/>
        </w:rPr>
        <w:t xml:space="preserve">3、本争点意见</w:t>
      </w:r>
    </w:p>
    <w:p>
      <w:pPr>
        <w:spacing w:after="360" w:line="320" w:lineRule="atLeast"/>
        <w:ind w:firstLine="480"/>
        <w:jc w:val="both"/>
      </w:pPr>
      <w:r>
        <w:rPr>
          <w:rFonts w:ascii="SimSun" w:cs="SimSun" w:eastAsia="SimSun" w:hAnsi="SimSun" w:hint="eastAsia"/>
          <w:color w:val="000000"/>
          <w:sz w:val="24"/>
          <w:szCs w:val="24"/>
        </w:rPr>
        <w:t xml:space="preserve">若低于法定下限，法院可能调整或否定部分效力。</w:t>
      </w:r>
    </w:p>
    <w:p>
      <w:pPr>
        <w:spacing w:after="360" w:before="0" w:line="320" w:lineRule="atLeast"/>
        <w:ind w:firstLine="480"/>
      </w:pPr>
      <w:r>
        <w:rPr>
          <w:rFonts w:ascii="SimSun" w:cs="SimSun" w:eastAsia="SimSun" w:hAnsi="SimSun" w:hint="eastAsia"/>
          <w:b/>
          <w:bCs/>
          <w:color w:val="000000"/>
          <w:sz w:val="24"/>
          <w:szCs w:val="24"/>
        </w:rPr>
        <w:t xml:space="preserve">（二）违约责任</w:t>
      </w:r>
    </w:p>
    <w:p>
      <w:pPr>
        <w:spacing w:after="360" w:before="0" w:line="320" w:lineRule="atLeast"/>
        <w:ind w:firstLine="480"/>
      </w:pPr>
      <w:r>
        <w:rPr>
          <w:rFonts w:ascii="SimSun" w:cs="SimSun" w:eastAsia="SimSun" w:hAnsi="SimSun" w:hint="eastAsia"/>
          <w:b/>
          <w:bCs/>
          <w:color w:val="000000"/>
          <w:sz w:val="24"/>
          <w:szCs w:val="24"/>
        </w:rPr>
        <w:t xml:space="preserve">1、规范依据</w:t>
      </w:r>
    </w:p>
    <w:p>
      <w:pPr>
        <w:spacing w:after="360" w:before="0" w:line="320" w:lineRule="atLeast"/>
        <w:ind w:firstLine="480"/>
      </w:pPr>
      <w:r>
        <w:rPr>
          <w:rFonts w:ascii="SimSun" w:cs="SimSun" w:eastAsia="SimSun" w:hAnsi="SimSun" w:hint="eastAsia"/>
          <w:b/>
          <w:bCs/>
          <w:color w:val="000000"/>
          <w:sz w:val="24"/>
          <w:szCs w:val="24"/>
        </w:rPr>
        <w:t xml:space="preserve">2、适用分析</w:t>
      </w:r>
    </w:p>
    <w:p>
      <w:pPr>
        <w:spacing w:after="360" w:before="0" w:line="320" w:lineRule="atLeast"/>
        <w:ind w:firstLine="480"/>
      </w:pPr>
      <w:r>
        <w:rPr>
          <w:rFonts w:ascii="SimSun" w:cs="SimSun" w:eastAsia="SimSun" w:hAnsi="SimSun" w:hint="eastAsia"/>
          <w:b/>
          <w:bCs/>
          <w:color w:val="000000"/>
          <w:sz w:val="24"/>
          <w:szCs w:val="24"/>
        </w:rPr>
        <w:t xml:space="preserve">3、本争点意见</w:t>
      </w:r>
    </w:p>
    <w:p>
      <w:pPr>
        <w:spacing w:after="360" w:before="0" w:line="320" w:lineRule="atLeast"/>
        <w:ind w:firstLine="480"/>
      </w:pPr>
      <w:r>
        <w:rPr>
          <w:rFonts w:ascii="SimSun" w:cs="SimSun" w:eastAsia="SimSun" w:hAnsi="SimSun" w:hint="eastAsia"/>
          <w:b/>
          <w:bCs/>
          <w:color w:val="000000"/>
          <w:sz w:val="24"/>
          <w:szCs w:val="24"/>
        </w:rPr>
        <w:t xml:space="preserve">四、风险提示</w:t>
      </w:r>
    </w:p>
    <w:p>
      <w:pPr>
        <w:spacing w:after="360" w:line="320" w:lineRule="atLeast"/>
        <w:ind w:firstLine="480"/>
        <w:jc w:val="both"/>
      </w:pPr>
      <w:r>
        <w:rPr>
          <w:rFonts w:ascii="SimSun" w:cs="SimSun" w:eastAsia="SimSun" w:hAnsi="SimSun" w:hint="eastAsia"/>
          <w:color w:val="000000"/>
          <w:sz w:val="24"/>
          <w:szCs w:val="24"/>
        </w:rPr>
        <w:t xml:space="preserve">材料未附履行地最低工资文件，结论可能随补充材料调整。</w:t>
      </w:r>
    </w:p>
    <w:p>
      <w:pPr>
        <w:spacing w:after="360" w:before="0" w:line="320" w:lineRule="atLeast"/>
        <w:ind w:firstLine="480"/>
      </w:pPr>
      <w:r>
        <w:rPr>
          <w:rFonts w:ascii="SimSun" w:cs="SimSun" w:eastAsia="SimSun" w:hAnsi="SimSun" w:hint="eastAsia"/>
          <w:b/>
          <w:bCs/>
          <w:color w:val="000000"/>
          <w:sz w:val="24"/>
          <w:szCs w:val="24"/>
        </w:rPr>
        <w:t xml:space="preserve">五、建议</w:t>
      </w:r>
    </w:p>
    <w:p>
      <w:pPr>
        <w:spacing w:after="360" w:before="0" w:line="320" w:lineRule="atLeast"/>
        <w:ind w:firstLine="480"/>
      </w:pPr>
      <w:r>
        <w:rPr>
          <w:rFonts w:ascii="SimSun" w:cs="SimSun" w:eastAsia="SimSun" w:hAnsi="SimSun" w:hint="eastAsia"/>
          <w:b/>
          <w:bCs/>
          <w:color w:val="000000"/>
          <w:sz w:val="24"/>
          <w:szCs w:val="24"/>
        </w:rPr>
        <w:t xml:space="preserve">1、核实履行地最低工资并对照协议补偿额。</w:t>
      </w:r>
    </w:p>
    <w:p>
      <w:pPr>
        <w:spacing w:after="360" w:before="0" w:line="320" w:lineRule="atLeast"/>
        <w:ind w:firstLine="480"/>
      </w:pPr>
      <w:r>
        <w:rPr>
          <w:rFonts w:ascii="SimSun" w:cs="SimSun" w:eastAsia="SimSun" w:hAnsi="SimSun" w:hint="eastAsia"/>
          <w:b/>
          <w:bCs/>
          <w:color w:val="000000"/>
          <w:sz w:val="24"/>
          <w:szCs w:val="24"/>
        </w:rPr>
        <w:t xml:space="preserve">2、视核对结果决定是否修订协议或补足差额。</w:t>
      </w:r>
    </w:p>
    <w:p>
      <w:pPr>
        <w:spacing w:after="360" w:before="0" w:line="320" w:lineRule="atLeast"/>
        <w:ind w:firstLine="480"/>
      </w:pPr>
      <w:r>
        <w:rPr>
          <w:rFonts w:ascii="SimSun" w:cs="SimSun" w:eastAsia="SimSun" w:hAnsi="SimSun" w:hint="eastAsia"/>
          <w:b/>
          <w:bCs/>
          <w:color w:val="000000"/>
          <w:sz w:val="24"/>
          <w:szCs w:val="24"/>
        </w:rPr>
        <w:t xml:space="preserve">免责声明</w:t>
      </w:r>
    </w:p>
    <w:p>
      <w:pPr>
        <w:spacing w:after="360" w:line="320" w:lineRule="atLeast"/>
        <w:ind w:firstLine="480"/>
        <w:jc w:val="both"/>
      </w:pPr>
      <w:r>
        <w:rPr>
          <w:rFonts w:ascii="SimSun" w:cs="SimSun" w:eastAsia="SimSun" w:hAnsi="SimSun" w:hint="eastAsia"/>
          <w:color w:val="000000"/>
          <w:sz w:val="24"/>
          <w:szCs w:val="24"/>
        </w:rPr>
        <w:t xml:space="preserve">本备忘录系基于客户提供的信息及公开可查询资料进行的初步法律分析，不构成正式法律意见，亦不替代签字律师在尽职调查和审慎核查基础上出具的专业法律意见。相关结论可能因事实补充、法规变化或监管口径调整而需要修正。</w:t>
      </w:r>
    </w:p>
    <w:p>
      <w:pPr>
        <w:spacing w:after="0" w:before="0" w:line="320" w:lineRule="atLeast"/>
        <w:jc w:val="right"/>
      </w:pPr>
      <w:r>
        <w:rPr>
          <w:rFonts w:ascii="SimSun" w:cs="SimSun" w:eastAsia="SimSun" w:hAnsi="SimSun" w:hint="eastAsia"/>
          <w:color w:val="000000"/>
          <w:sz w:val="24"/>
          <w:szCs w:val="24"/>
        </w:rPr>
        <w:t xml:space="preserve">2026 年 9 月 28 日</w:t>
      </w:r>
    </w:p>
    <w:sectPr>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2026-09-28T00:04:37.250Z</dcterms:created>
  <dcterms:modified xsi:type="dcterms:W3CDTF">2026-09-28T00:04:37.250Z</dcterms:modified>
</cp:coreProperties>
</file>

<file path=docProps/custom.xml><?xml version="1.0" encoding="utf-8"?>
<Properties xmlns="http://schemas.openxmlformats.org/officeDocument/2006/custom-properties" xmlns:vt="http://schemas.openxmlformats.org/officeDocument/2006/docPropsVTypes"/>
</file>