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Quarterly Business Report - Q4 2023</w:t>
      </w:r>
    </w:p>
    <w:p>
      <w:pPr>
        <w:pStyle w:val="Heading2"/>
      </w:pPr>
      <w:r>
        <w:t xml:space="preserve">1. Executive Summary</w:t>
      </w:r>
    </w:p>
    <w:p>
      <w:r>
        <w:t xml:space="preserve">We are pleased to present the Quarterly Business Report for Q4 2023, encompassing the full fiscal year's performance. The company demonstrated strong resilience and strategic execution, achieving significant milestones despite dynamic market conditions. Revenue growth remained robust, driven by successful product diversification and an expanded customer base. Operational efficiencies contributed to healthy profit margins, setting a strong foundation for continued success into the new fiscal year.</w:t>
      </w:r>
    </w:p>
    <w:p>
      <w:r>
        <w:t xml:space="preserve">Key achievements include the successful launch of our new flagship product line, substantial expansion in the EMEA market, and critical advancements in our R&amp;D initiatives. Our commitment to innovation and customer satisfaction continues to drive value and solidify our competitive position. We anticipate further growth and market penetration as we capitalize on emerging opportunities and execute our strategic objectives for 2024.</w:t>
      </w:r>
    </w:p>
    <w:p>
      <w:pPr>
        <w:pStyle w:val="Heading2"/>
      </w:pPr>
      <w:r>
        <w:t xml:space="preserve">2. Financial Performance Overview</w:t>
      </w:r>
    </w:p>
    <w:p>
      <w:pPr>
        <w:pStyle w:val="Heading3"/>
      </w:pPr>
      <w:r>
        <w:t xml:space="preserve">2.1. Q1-Q4 Revenue Performance</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0" w:type="auto"/>
      </w:tblPr>
      <w:tr>
        <w:tc>
          <w:tcPr/>
          <w:p>
            <w:pPr>
              <w:jc w:val="center"/>
            </w:pPr>
            <w:r>
              <w:rPr>
                <w:b/>
              </w:rPr>
              <w:t xml:space="preserve">Quarter</w:t>
            </w:r>
          </w:p>
        </w:tc>
        <w:tc>
          <w:tcPr/>
          <w:p>
            <w:pPr>
              <w:jc w:val="center"/>
            </w:pPr>
            <w:r>
              <w:rPr>
                <w:b/>
              </w:rPr>
              <w:t xml:space="preserve">Revenue (USD)</w:t>
            </w:r>
          </w:p>
        </w:tc>
        <w:tc>
          <w:tcPr/>
          <w:p>
            <w:pPr>
              <w:jc w:val="center"/>
            </w:pPr>
            <w:r>
              <w:rPr>
                <w:b/>
              </w:rPr>
              <w:t xml:space="preserve">Growth (YoY)</w:t>
            </w:r>
          </w:p>
        </w:tc>
        <w:tc>
          <w:tcPr/>
          <w:p>
            <w:pPr>
              <w:jc w:val="center"/>
            </w:pPr>
            <w:r>
              <w:rPr>
                <w:b/>
              </w:rPr>
              <w:t xml:space="preserve">Profit Margin (%)</w:t>
            </w:r>
          </w:p>
        </w:tc>
      </w:tr>
      <w:tr>
        <w:tc>
          <w:tcPr/>
          <w:p>
            <w:r>
              <w:t xml:space="preserve">Q1 2023</w:t>
            </w:r>
          </w:p>
        </w:tc>
        <w:tc>
          <w:tcPr/>
          <w:p>
            <w:r>
              <w:t xml:space="preserve">$12,500,000</w:t>
            </w:r>
          </w:p>
        </w:tc>
        <w:tc>
          <w:tcPr/>
          <w:p>
            <w:r>
              <w:t xml:space="preserve">18%</w:t>
            </w:r>
          </w:p>
        </w:tc>
        <w:tc>
          <w:tcPr/>
          <w:p>
            <w:r>
              <w:t xml:space="preserve">22%</w:t>
            </w:r>
          </w:p>
        </w:tc>
      </w:tr>
      <w:tr>
        <w:tc>
          <w:tcPr/>
          <w:p>
            <w:r>
              <w:t xml:space="preserve">Q2 2023</w:t>
            </w:r>
          </w:p>
        </w:tc>
        <w:tc>
          <w:tcPr/>
          <w:p>
            <w:r>
              <w:t xml:space="preserve">$13,200,000</w:t>
            </w:r>
          </w:p>
        </w:tc>
        <w:tc>
          <w:tcPr/>
          <w:p>
            <w:r>
              <w:t xml:space="preserve">15%</w:t>
            </w:r>
          </w:p>
        </w:tc>
        <w:tc>
          <w:tcPr/>
          <w:p>
            <w:r>
              <w:t xml:space="preserve">21%</w:t>
            </w:r>
          </w:p>
        </w:tc>
      </w:tr>
      <w:tr>
        <w:tc>
          <w:tcPr/>
          <w:p>
            <w:r>
              <w:t xml:space="preserve">Q3 2023</w:t>
            </w:r>
          </w:p>
        </w:tc>
        <w:tc>
          <w:tcPr/>
          <w:p>
            <w:r>
              <w:t xml:space="preserve">$14,800,000</w:t>
            </w:r>
          </w:p>
        </w:tc>
        <w:tc>
          <w:tcPr/>
          <w:p>
            <w:r>
              <w:t xml:space="preserve">20%</w:t>
            </w:r>
          </w:p>
        </w:tc>
        <w:tc>
          <w:tcPr/>
          <w:p>
            <w:r>
              <w:t xml:space="preserve">24%</w:t>
            </w:r>
          </w:p>
        </w:tc>
      </w:tr>
      <w:tr>
        <w:tc>
          <w:tcPr/>
          <w:p>
            <w:r>
              <w:t xml:space="preserve">Q4 2023</w:t>
            </w:r>
          </w:p>
        </w:tc>
        <w:tc>
          <w:tcPr/>
          <w:p>
            <w:r>
              <w:t xml:space="preserve">$15,500,000</w:t>
            </w:r>
          </w:p>
        </w:tc>
        <w:tc>
          <w:tcPr/>
          <w:p>
            <w:r>
              <w:t xml:space="preserve">17%</w:t>
            </w:r>
          </w:p>
        </w:tc>
        <w:tc>
          <w:tcPr/>
          <w:p>
            <w:r>
              <w:t xml:space="preserve">23%</w:t>
            </w:r>
          </w:p>
        </w:tc>
      </w:tr>
      <w:tr>
        <w:tc>
          <w:tcPr/>
          <w:p>
            <w:r>
              <w:t xml:space="preserve">FY 2023 Total</w:t>
            </w:r>
          </w:p>
        </w:tc>
        <w:tc>
          <w:tcPr/>
          <w:p>
            <w:r>
              <w:t xml:space="preserve">$56,000,000</w:t>
            </w:r>
          </w:p>
        </w:tc>
        <w:tc>
          <w:tcPr/>
          <w:p>
            <w:r>
              <w:t xml:space="preserve">17.5%</w:t>
            </w:r>
          </w:p>
        </w:tc>
        <w:tc>
          <w:tcPr/>
          <w:p>
            <w:r>
              <w:t xml:space="preserve">22.5%</w:t>
            </w:r>
          </w:p>
        </w:tc>
      </w:tr>
    </w:tbl>
    <w:p>
      <w:pPr>
        <w:pStyle w:val="Heading2"/>
      </w:pPr>
      <w:r>
        <w:t xml:space="preserve">3. Key Highlights of Q4 2023</w:t>
      </w:r>
    </w:p>
    <w:p>
      <w:pPr>
        <w:pStyle w:val="ListParagraph"/>
        <w:numPr>
          <w:ilvl w:val="0"/>
          <w:numId w:val="1"/>
        </w:numPr>
      </w:pPr>
      <w:r>
        <w:t xml:space="preserve">Launched 'Synergy 3.0' product suite, exceeding initial sales projections by 15% in its first month.</w:t>
      </w:r>
    </w:p>
    <w:p>
      <w:pPr>
        <w:pStyle w:val="ListParagraph"/>
        <w:numPr>
          <w:ilvl w:val="0"/>
          <w:numId w:val="1"/>
        </w:numPr>
      </w:pPr>
      <w:r>
        <w:t xml:space="preserve">Secured three major enterprise contracts, expanding our client portfolio by 8% and projected recurring revenue by 12%.</w:t>
      </w:r>
    </w:p>
    <w:p>
      <w:pPr>
        <w:pStyle w:val="ListParagraph"/>
        <w:numPr>
          <w:ilvl w:val="0"/>
          <w:numId w:val="1"/>
        </w:numPr>
      </w:pPr>
      <w:r>
        <w:t xml:space="preserve">Achieved a 10% reduction in operational costs through the successful implementation of new automation tools.</w:t>
      </w:r>
    </w:p>
    <w:p>
      <w:pPr>
        <w:pStyle w:val="ListParagraph"/>
        <w:numPr>
          <w:ilvl w:val="0"/>
          <w:numId w:val="1"/>
        </w:numPr>
      </w:pPr>
      <w:r>
        <w:t xml:space="preserve">Expanded market presence in Southeast Asia, establishing key partnerships and initial sales channels.</w:t>
      </w:r>
    </w:p>
    <w:p>
      <w:pPr>
        <w:pStyle w:val="ListParagraph"/>
        <w:numPr>
          <w:ilvl w:val="0"/>
          <w:numId w:val="1"/>
        </w:numPr>
      </w:pPr>
      <w:r>
        <w:t xml:space="preserve">Employee satisfaction survey results improved by 7 points, reflecting positive internal initiatives and talent development programs.</w:t>
      </w:r>
    </w:p>
    <w:p>
      <w:pPr>
        <w:pStyle w:val="Heading2"/>
      </w:pPr>
      <w:r>
        <w:t xml:space="preserve">4. Outlook and Strategic Focus</w:t>
      </w:r>
    </w:p>
    <w:p>
      <w:r>
        <w:t xml:space="preserve">Looking ahead, our strategic focus for the next fiscal year centers on three core pillars: continued product innovation, aggressive market expansion, and enhanced customer engagement. We plan to invest heavily in R&amp;D for our next-generation technologies and explore new geographical markets with high growth potential. Digital transformation initiatives will remain a priority to further optimize our internal processes and customer experience.</w:t>
      </w:r>
    </w:p>
    <w:p>
      <w:r>
        <w:t xml:space="preserve">We anticipate continued economic volatility but remain confident in our diversified business model and strong financial position. Our immediate priorities include finalizing two strategic acquisition targets and ramping up our marketing efforts for the upcoming product roadmap. We are committed to delivering sustained value to our shareholders and maintaining our leadership position in the market.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abstractNum w:abstractNumId="1">
    <w:multiLevelType w:val="hybridMultilevel"/>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default="1" w:styleId="Normal">
    <w:name w:val="Normal"/>
  </w:style>
  <w:style w:type="paragraph" w:styleId="ListParagraph">
    <w:name w:val="List Paragraph"/>
    <w:pPr>
      <w:ind w:left="720"/>
      <w:contextualSpacing/>
    </w:pPr>
  </w:style>
  <w:style w:type="character" w:styleId="Hyperlink">
    <w:name w:val="Hyperlink"/>
    <w:rPr>
      <w:color w:val="0563C1"/>
      <w:u w:val="single"/>
    </w:rPr>
  </w:style>
  <w:style w:type="paragraph" w:styleId="Heading1">
    <w:name w:val="heading 1"/>
    <w:pPr>
      <w:spacing w:before="240" w:after="120"/>
    </w:pPr>
    <w:rPr>
      <w:b/>
      <w:sz w:val="28"/>
    </w:rPr>
  </w:style>
  <w:style w:type="paragraph" w:styleId="Heading2">
    <w:name w:val="heading 2"/>
    <w:pPr>
      <w:spacing w:before="240" w:after="120"/>
    </w:pPr>
    <w:rPr>
      <w:b/>
      <w:sz w:val="24"/>
    </w:rPr>
  </w:style>
  <w:style w:type="paragraph" w:styleId="Heading3">
    <w:name w:val="heading 3"/>
    <w:pPr>
      <w:spacing w:before="240" w:after="120"/>
    </w:pPr>
    <w:rPr>
      <w:b/>
      <w:sz w:val="20"/>
    </w:rPr>
  </w:style>
  <w:style w:type="paragraph" w:styleId="Heading4">
    <w:name w:val="heading 4"/>
    <w:pPr>
      <w:spacing w:before="240" w:after="120"/>
    </w:pPr>
    <w:rPr>
      <w:b/>
      <w:sz w:val="18"/>
    </w:rPr>
  </w:style>
  <w:style w:type="paragraph" w:styleId="Heading5">
    <w:name w:val="heading 5"/>
    <w:pPr>
      <w:spacing w:before="240" w:after="120"/>
    </w:pPr>
    <w:rPr>
      <w:b/>
      <w:sz w:val="16"/>
    </w:rPr>
  </w:style>
  <w:style w:type="paragraph" w:styleId="Heading6">
    <w:name w:val="heading 6"/>
    <w:pPr>
      <w:spacing w:before="240" w:after="120"/>
    </w:pPr>
    <w:rPr>
      <w:b/>
      <w:sz w:val="14"/>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xmlns:dcterms="http://purl.org/dc/terms/" xmlns:xsi="http://www.w3.org/2001/XMLSchema-instance">
  <dc:title>Professional quarterly business report with executive summary, Q1-Q4 revenue table, 5 key highlights, and outlook</dc:title>
  <dc:creator>AILANG Parse AI</dc:creator>
  <cp:lastModifiedBy>AILANG Parse AI</cp:lastModifiedBy>
</cp:coreProperties>
</file>