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TechCorp Inc. Quarterly Business Report - FY2023</w:t>
      </w:r>
    </w:p>
    <w:p>
      <w:pPr>
        <w:pStyle w:val="Heading2"/>
      </w:pPr>
      <w:r>
        <w:t xml:space="preserve">Executive Summary</w:t>
      </w:r>
    </w:p>
    <w:p>
      <w:r>
        <w:t xml:space="preserve">TechCorp Inc. concluded FY2023 with robust financial performance, demonstrating consistent growth across all key product lines. Total revenue reached $1.26 billion, marking a significant year-over-year increase of 20% compared to FY2022. The Cloud division was the primary growth driver, benefiting from strong market demand and successful product launches. Our Enterprise and Services segments also showed healthy expansion, reflecting successful client engagements and operational efficiencies. We remain well-positioned for continued growth and innovation in the upcoming fiscal year.</w:t>
      </w:r>
    </w:p>
    <w:p>
      <w:pPr>
        <w:pStyle w:val="Heading2"/>
      </w:pPr>
      <w:r>
        <w:t xml:space="preserve">Financial Performance Overview</w:t>
      </w:r>
    </w:p>
    <w:p>
      <w:pPr>
        <w:pStyle w:val="Heading3"/>
      </w:pPr>
      <w:r>
        <w:t xml:space="preserve">Q1-Q4 Revenue Breakdown by Product Line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0" w:type="auto"/>
      </w:tblPr>
      <w:tr>
        <w:tc>
          <w:tcPr/>
          <w:p>
            <w:pPr>
              <w:jc w:val="center"/>
            </w:pPr>
            <w:r>
              <w:rPr>
                <w:b/>
              </w:rPr>
              <w:t xml:space="preserve">Quarter</w:t>
            </w:r>
          </w:p>
        </w:tc>
        <w:tc>
          <w:tcPr/>
          <w:p>
            <w:pPr>
              <w:jc w:val="center"/>
            </w:pPr>
            <w:r>
              <w:rPr>
                <w:b/>
              </w:rPr>
              <w:t xml:space="preserve">Cloud ($M)</w:t>
            </w:r>
          </w:p>
        </w:tc>
        <w:tc>
          <w:tcPr/>
          <w:p>
            <w:pPr>
              <w:jc w:val="center"/>
            </w:pPr>
            <w:r>
              <w:rPr>
                <w:b/>
              </w:rPr>
              <w:t xml:space="preserve">Enterprise ($M)</w:t>
            </w:r>
          </w:p>
        </w:tc>
        <w:tc>
          <w:tcPr/>
          <w:p>
            <w:pPr>
              <w:jc w:val="center"/>
            </w:pPr>
            <w:r>
              <w:rPr>
                <w:b/>
              </w:rPr>
              <w:t xml:space="preserve">Services ($M)</w:t>
            </w:r>
          </w:p>
        </w:tc>
        <w:tc>
          <w:tcPr/>
          <w:p>
            <w:pPr>
              <w:jc w:val="center"/>
            </w:pPr>
            <w:r>
              <w:rPr>
                <w:b/>
              </w:rPr>
              <w:t xml:space="preserve">Total Revenue ($M)</w:t>
            </w:r>
          </w:p>
        </w:tc>
      </w:tr>
      <w:tr>
        <w:tc>
          <w:tcPr/>
          <w:p>
            <w:r>
              <w:t xml:space="preserve">Q1</w:t>
            </w:r>
          </w:p>
        </w:tc>
        <w:tc>
          <w:tcPr/>
          <w:p>
            <w:r>
              <w:t xml:space="preserve">150</w:t>
            </w:r>
          </w:p>
        </w:tc>
        <w:tc>
          <w:tcPr/>
          <w:p>
            <w:r>
              <w:t xml:space="preserve">80</w:t>
            </w:r>
          </w:p>
        </w:tc>
        <w:tc>
          <w:tcPr/>
          <w:p>
            <w:r>
              <w:t xml:space="preserve">40</w:t>
            </w:r>
          </w:p>
        </w:tc>
        <w:tc>
          <w:tcPr/>
          <w:p>
            <w:r>
              <w:t xml:space="preserve">270</w:t>
            </w:r>
          </w:p>
        </w:tc>
      </w:tr>
      <w:tr>
        <w:tc>
          <w:tcPr/>
          <w:p>
            <w:r>
              <w:t xml:space="preserve">Q2</w:t>
            </w:r>
          </w:p>
        </w:tc>
        <w:tc>
          <w:tcPr/>
          <w:p>
            <w:r>
              <w:t xml:space="preserve">175</w:t>
            </w:r>
          </w:p>
        </w:tc>
        <w:tc>
          <w:tcPr/>
          <w:p>
            <w:r>
              <w:t xml:space="preserve">82</w:t>
            </w:r>
          </w:p>
        </w:tc>
        <w:tc>
          <w:tcPr/>
          <w:p>
            <w:r>
              <w:t xml:space="preserve">42</w:t>
            </w:r>
          </w:p>
        </w:tc>
        <w:tc>
          <w:tcPr/>
          <w:p>
            <w:r>
              <w:t xml:space="preserve">299</w:t>
            </w:r>
          </w:p>
        </w:tc>
      </w:tr>
      <w:tr>
        <w:tc>
          <w:tcPr/>
          <w:p>
            <w:r>
              <w:t xml:space="preserve">Q3</w:t>
            </w:r>
          </w:p>
        </w:tc>
        <w:tc>
          <w:tcPr/>
          <w:p>
            <w:r>
              <w:t xml:space="preserve">200</w:t>
            </w:r>
          </w:p>
        </w:tc>
        <w:tc>
          <w:tcPr/>
          <w:p>
            <w:r>
              <w:t xml:space="preserve">85</w:t>
            </w:r>
          </w:p>
        </w:tc>
        <w:tc>
          <w:tcPr/>
          <w:p>
            <w:r>
              <w:t xml:space="preserve">45</w:t>
            </w:r>
          </w:p>
        </w:tc>
        <w:tc>
          <w:tcPr/>
          <w:p>
            <w:r>
              <w:t xml:space="preserve">330</w:t>
            </w:r>
          </w:p>
        </w:tc>
      </w:tr>
      <w:tr>
        <w:tc>
          <w:tcPr/>
          <w:p>
            <w:r>
              <w:t xml:space="preserve">Q4</w:t>
            </w:r>
          </w:p>
        </w:tc>
        <w:tc>
          <w:tcPr/>
          <w:p>
            <w:r>
              <w:t xml:space="preserve">225</w:t>
            </w:r>
          </w:p>
        </w:tc>
        <w:tc>
          <w:tcPr/>
          <w:p>
            <w:r>
              <w:t xml:space="preserve">88</w:t>
            </w:r>
          </w:p>
        </w:tc>
        <w:tc>
          <w:tcPr/>
          <w:p>
            <w:r>
              <w:t xml:space="preserve">48</w:t>
            </w:r>
          </w:p>
        </w:tc>
        <w:tc>
          <w:tcPr/>
          <w:p>
            <w:r>
              <w:t xml:space="preserve">361</w:t>
            </w:r>
          </w:p>
        </w:tc>
      </w:tr>
      <w:tr>
        <w:tc>
          <w:tcPr/>
          <w:p>
            <w:r>
              <w:t xml:space="preserve">FY2023 Total</w:t>
            </w:r>
          </w:p>
        </w:tc>
        <w:tc>
          <w:tcPr/>
          <w:p>
            <w:r>
              <w:t xml:space="preserve">750</w:t>
            </w:r>
          </w:p>
        </w:tc>
        <w:tc>
          <w:tcPr/>
          <w:p>
            <w:r>
              <w:t xml:space="preserve">335</w:t>
            </w:r>
          </w:p>
        </w:tc>
        <w:tc>
          <w:tcPr/>
          <w:p>
            <w:r>
              <w:t xml:space="preserve">175</w:t>
            </w:r>
          </w:p>
        </w:tc>
        <w:tc>
          <w:tcPr/>
          <w:p>
            <w:r>
              <w:t xml:space="preserve">1260</w:t>
            </w:r>
          </w:p>
        </w:tc>
      </w:tr>
    </w:tbl>
    <w:p>
      <w:pPr>
        <w:pStyle w:val="Heading3"/>
      </w:pPr>
      <w:r>
        <w:t xml:space="preserve">Year-over-Year Growth Analysis</w:t>
      </w:r>
    </w:p>
    <w:p>
      <w:r>
        <w:t xml:space="preserve">FY2023 saw TechCorp Inc. achieve a remarkable 20% year-over-year revenue growth, climbing from $1.05 billion in FY2022 to $1.26 billion. This substantial increase was predominantly fueled by the exceptional performance of our Cloud division, which grew by over 30% annually, driven by new platform adoptions and increased service consumption. The Enterprise segment maintained steady growth with strategic client acquisitions, while the Services division expanded its offerings, contributing positively to the overall revenue uplift. This growth underscores our successful market penetration and effective execution of strategic initiatives.</w:t>
      </w:r>
    </w:p>
    <w:p>
      <w:pPr>
        <w:pStyle w:val="Heading2"/>
      </w:pPr>
      <w:r>
        <w:t xml:space="preserve">Key Business Highlights (FY2023)</w:t>
      </w:r>
    </w:p>
    <w:p>
      <w:r>
        <w:t xml:space="preserve">u2022 Successfully launched the 'Aurora' Cloud AI platform, securing 150 new enterprise clients within the first two quarters.</w:t>
      </w:r>
    </w:p>
    <w:p>
      <w:r>
        <w:t xml:space="preserve">u2022 Expanded market footprint by acquiring three major contracts in the FinTech sector, increasing Enterprise segment revenue by 10%.</w:t>
      </w:r>
    </w:p>
    <w:p>
      <w:r>
        <w:t xml:space="preserve">u2022 Achieved significant operational efficiencies, resulting in a 12% reduction in overall infrastructure costs while enhancing service delivery.</w:t>
      </w:r>
    </w:p>
    <w:p>
      <w:r>
        <w:t xml:space="preserve">u2022 Strengthened global presence with the opening of new operational hubs in EMEA, boosting international service capabilities.</w:t>
      </w:r>
    </w:p>
    <w:p>
      <w:r>
        <w:t xml:space="preserve">u2022 Invested $50M in research and development for next-generation quantum computing solutions, positioning TechCorp as a future innovator.</w:t>
      </w:r>
    </w:p>
    <w:p>
      <w:pPr>
        <w:pStyle w:val="Heading2"/>
      </w:pPr>
      <w:r>
        <w:t xml:space="preserve">Business Outlook for FY2024</w:t>
      </w:r>
    </w:p>
    <w:p>
      <w:r>
        <w:t xml:space="preserve">Looking ahead to FY2024, TechCorp Inc. anticipates continued growth, with a strategic focus on AI integration across all product lines and aggressive expansion into emerging markets. We plan to leverage our strong Cloud momentum, introduce innovative features for our Enterprise clients, and scale our Services division to meet increasing global demand. While macroeconomic factors present potential challenges, our strong financial position and robust product pipeline give us confidence in achieving sustained profitability and delivering enhanced shareholder value.</w:t>
      </w:r>
    </w:p>
  </w:body>
</w:document>
</file>

<file path=word/styles.xml><?xml version="1.0" encoding="utf-8"?>
<w:styles xmlns:w="http://schemas.openxmlformats.org/wordprocessingml/2006/main">
  <w:style w:type="paragraph" w:styleId="Normal">
    <w:name w:val="Normal"/>
  </w:style>
  <w:style w:type="paragraph" w:styleId="Heading1">
    <w:name w:val="heading 1"/>
    <w:pPr>
      <w:spacing w:before="240" w:after="120"/>
    </w:pPr>
    <w:rPr>
      <w:b/>
      <w:sz w:val="28"/>
    </w:rPr>
  </w:style>
  <w:style w:type="paragraph" w:styleId="Heading2">
    <w:name w:val="heading 2"/>
    <w:pPr>
      <w:spacing w:before="240" w:after="120"/>
    </w:pPr>
    <w:rPr>
      <w:b/>
      <w:sz w:val="24"/>
    </w:rPr>
  </w:style>
  <w:style w:type="paragraph" w:styleId="Heading3">
    <w:name w:val="heading 3"/>
    <w:pPr>
      <w:spacing w:before="240" w:after="120"/>
    </w:pPr>
    <w:rPr>
      <w:b/>
      <w:sz w:val="20"/>
    </w:rPr>
  </w:style>
  <w:style w:type="paragraph" w:styleId="Heading4">
    <w:name w:val="heading 4"/>
    <w:pPr>
      <w:spacing w:before="240" w:after="120"/>
    </w:pPr>
    <w:rPr>
      <w:b/>
      <w:sz w:val="18"/>
    </w:rPr>
  </w:style>
  <w:style w:type="paragraph" w:styleId="Heading5">
    <w:name w:val="heading 5"/>
    <w:pPr>
      <w:spacing w:before="240" w:after="120"/>
    </w:pPr>
    <w:rPr>
      <w:b/>
      <w:sz w:val="16"/>
    </w:rPr>
  </w:style>
  <w:style w:type="paragraph" w:styleId="Heading6">
    <w:name w:val="heading 6"/>
    <w:pPr>
      <w:spacing w:before="240" w:after="120"/>
    </w:pPr>
    <w:rPr>
      <w:b/>
      <w:sz w:val="14"/>
    </w:rPr>
  </w:style>
</w:styles>
</file>