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Mathematical Notation</w:t>
      </w:r>
    </w:p>
    <w:p>
      <w:r>
        <w:t>The following equations demonstrate Office Math (OMML) content:</w:t>
      </w:r>
    </w:p>
    <w:p>
      <w:r>
        <w:t xml:space="preserve">Einstein's mass-energy equivalence: </w:t>
      </w:r>
      <m:oMath>
        <m:r>
          <m:t>E</m:t>
        </m:r>
        <m: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r>
        <w:t>The quadratic formula:</w:t>
      </w:r>
      <m:oMathPara>
        <m:oMath>
          <m:r>
            <m:t>x</m:t>
          </m:r>
          <m:r>
            <m:t>=</m:t>
          </m:r>
          <m:r>
            <m:t>(-b±√(b²-4ac))</m:t>
          </m:r>
          <m:r>
            <m:t>/</m:t>
          </m:r>
          <m:r>
            <m:t>2a</m:t>
          </m:r>
        </m:oMath>
      </m:oMathPara>
    </w:p>
    <w:p>
      <w:r>
        <w:t>A well-formed parser should extract at least the text content of these equations.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