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Annual Report 2025</w:t>
      </w:r>
    </w:p>
    <w:p>
      <w:r>
        <w:t>This document uses custom heading styles that inherit from built-in headings.</w:t>
      </w:r>
    </w:p>
    <w:p>
      <w:pPr>
        <w:pStyle w:val="SectionHeader"/>
      </w:pPr>
      <w:r>
        <w:t>Financial Overview</w:t>
      </w:r>
    </w:p>
    <w:p>
      <w:r>
        <w:t>Revenue grew 15% year-over-year driven by cloud services.</w:t>
      </w:r>
    </w:p>
    <w:p>
      <w:pPr>
        <w:pStyle w:val="Subsection"/>
      </w:pPr>
      <w:r>
        <w:t>Revenue Breakdown</w:t>
      </w:r>
    </w:p>
    <w:p>
      <w:r>
        <w:t>Cloud: $45M, On-prem: $12M, Services: $8M</w:t>
      </w:r>
    </w:p>
    <w:p>
      <w:pPr>
        <w:pStyle w:val="SectionHeader"/>
      </w:pPr>
      <w:r>
        <w:t>Operational Highlights</w:t>
      </w:r>
    </w:p>
    <w:p>
      <w:r>
        <w:t>Headcount increased by 200 across engineering and sales.</w:t>
      </w:r>
    </w:p>
    <w:p>
      <w:pPr>
        <w:pStyle w:val="Subsection"/>
      </w:pPr>
      <w:r>
        <w:t>Engineering</w:t>
      </w:r>
    </w:p>
    <w:p>
      <w:r>
        <w:t>Shipped 3 major releases with 99.9% uptime.</w:t>
      </w:r>
    </w:p>
    <w:p>
      <w:pPr>
        <w:pStyle w:val="Title"/>
      </w:pPr>
      <w:r>
        <w:t>Appendix: Supplementary Data</w:t>
      </w:r>
    </w:p>
    <w:p>
      <w:pPr>
        <w:pStyle w:val="Subtitle"/>
      </w:pPr>
      <w:r>
        <w:t>Detailed financial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rPr>
      <w:b/>
      <w:sz w:val="56"/>
    </w:rPr>
  </w:style>
  <w:style w:type="paragraph" w:customStyle="1" w:styleId="SectionHeader">
    <w:name w:val="SectionHeader"/>
    <w:basedOn w:val="Heading2"/>
    <w:rPr>
      <w:sz w:val="36"/>
    </w:rPr>
  </w:style>
  <w:style w:type="paragraph" w:customStyle="1" w:styleId="Subsection">
    <w:name w:val="Subsection"/>
    <w:basedOn w:val="Heading3"/>
    <w:rPr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