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Performance Review</w:t>
      </w:r>
    </w:p>
    <w:p>
      <w:pPr>
        <w:pStyle w:val="Subtitle"/>
      </w:pPr>
      <w:r>
        <w:t>Engineering Division — Q1 2026</w:t>
      </w:r>
    </w:p>
    <w:p/>
    <w:p>
      <w:pPr>
        <w:pStyle w:val="Heading1"/>
      </w:pPr>
      <w:r>
        <w:t>Table of Contents</w:t>
      </w:r>
    </w:p>
    <w:p>
      <w:r>
        <w:t>1. Executive Summary .......................... 2</w:t>
      </w:r>
    </w:p>
    <w:p>
      <w:r>
        <w:t>2. Key Metrics ................................ 3</w:t>
      </w:r>
    </w:p>
    <w:p>
      <w:r>
        <w:t>3. Team Performance ........................... 5</w:t>
      </w:r>
    </w:p>
    <w:p>
      <w:r>
        <w:t>4. Risks and Mitigations ...................... 7</w:t>
      </w:r>
    </w:p>
    <w:p>
      <w:pPr>
        <w:pStyle w:val="Heading1"/>
      </w:pPr>
      <w:r>
        <w:t>Executive Summary</w:t>
      </w:r>
    </w:p>
    <w:p>
      <w:r>
        <w:t xml:space="preserve">Q1 2026 was a </w:t>
      </w:r>
      <w:r>
        <w:rPr>
          <w:b/>
        </w:rPr>
        <w:t>strong quarter</w:t>
      </w:r>
      <w:r>
        <w:t xml:space="preserve"> for the engineering division. Key highlights include:</w:t>
      </w:r>
    </w:p>
    <w:p>
      <w:pPr>
        <w:pStyle w:val="ListBullet"/>
      </w:pPr>
      <w:r>
        <w:t>Shipped DocParse v0.9.0 with agent-friendly API</w:t>
      </w:r>
    </w:p>
    <w:p>
      <w:pPr>
        <w:pStyle w:val="ListBullet"/>
      </w:pPr>
      <w:r>
        <w:t>Achieved 99.95% API uptime (target: 99.9%)</w:t>
      </w:r>
    </w:p>
    <w:p>
      <w:pPr>
        <w:pStyle w:val="ListBullet"/>
      </w:pPr>
      <w:r>
        <w:t>Reduced p50 latency from 45ms to 11ms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Q4 2025</w:t>
            </w:r>
          </w:p>
        </w:tc>
        <w:tc>
          <w:tcPr>
            <w:tcW w:type="dxa" w:w="2160"/>
          </w:tcPr>
          <w:p>
            <w:r>
              <w:t>Q1 2026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API Requests/day</w:t>
            </w:r>
          </w:p>
        </w:tc>
        <w:tc>
          <w:tcPr>
            <w:tcW w:type="dxa" w:w="2160"/>
          </w:tcPr>
          <w:p>
            <w:r>
              <w:t>12,400</w:t>
            </w:r>
          </w:p>
        </w:tc>
        <w:tc>
          <w:tcPr>
            <w:tcW w:type="dxa" w:w="2160"/>
          </w:tcPr>
          <w:p>
            <w:r>
              <w:t>28,700</w:t>
            </w:r>
          </w:p>
        </w:tc>
        <w:tc>
          <w:tcPr>
            <w:tcW w:type="dxa" w:w="2160"/>
          </w:tcPr>
          <w:p>
            <w:r>
              <w:t>+131%</w:t>
            </w:r>
          </w:p>
        </w:tc>
      </w:tr>
      <w:tr>
        <w:tc>
          <w:tcPr>
            <w:tcW w:type="dxa" w:w="2160"/>
          </w:tcPr>
          <w:p>
            <w:r>
              <w:t>Avg Latency (ms)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-76%</w:t>
            </w:r>
          </w:p>
        </w:tc>
      </w:tr>
      <w:tr>
        <w:tc>
          <w:tcPr>
            <w:tcW w:type="dxa" w:w="2160"/>
          </w:tcPr>
          <w:p>
            <w:r>
              <w:t>Error Rate</w:t>
            </w:r>
          </w:p>
        </w:tc>
        <w:tc>
          <w:tcPr>
            <w:tcW w:type="dxa" w:w="2160"/>
          </w:tcPr>
          <w:p>
            <w:r>
              <w:t>0.12%</w:t>
            </w:r>
          </w:p>
        </w:tc>
        <w:tc>
          <w:tcPr>
            <w:tcW w:type="dxa" w:w="2160"/>
          </w:tcPr>
          <w:p>
            <w:r>
              <w:t>0.05%</w:t>
            </w:r>
          </w:p>
        </w:tc>
        <w:tc>
          <w:tcPr>
            <w:tcW w:type="dxa" w:w="2160"/>
          </w:tcPr>
          <w:p>
            <w:r>
              <w:t>-58%</w:t>
            </w:r>
          </w:p>
        </w:tc>
      </w:tr>
      <w:tr>
        <w:tc>
          <w:tcPr>
            <w:tcW w:type="dxa" w:w="2160"/>
          </w:tcPr>
          <w:p>
            <w:r>
              <w:t>Active Users</w:t>
            </w:r>
          </w:p>
        </w:tc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892</w:t>
            </w:r>
          </w:p>
        </w:tc>
        <w:tc>
          <w:tcPr>
            <w:tcW w:type="dxa" w:w="2160"/>
          </w:tcPr>
          <w:p>
            <w:r>
              <w:t>+162%</w:t>
            </w:r>
          </w:p>
        </w:tc>
      </w:tr>
    </w:tbl>
    <w:p>
      <w:pPr>
        <w:pStyle w:val="Heading1"/>
      </w:pPr>
      <w:r>
        <w:t>Team Performance</w:t>
      </w:r>
    </w:p>
    <w:p>
      <w:pPr>
        <w:pStyle w:val="Heading2"/>
      </w:pPr>
      <w:r>
        <w:t>Backend Team</w:t>
      </w:r>
    </w:p>
    <w:p>
      <w:r>
        <w:t xml:space="preserve">Led by </w:t>
      </w:r>
      <w:r>
        <w:rPr>
          <w:b/>
        </w:rPr>
        <w:t>Sarah Chen</w:t>
      </w:r>
      <w:r>
        <w:t xml:space="preserve">. The backend team delivered the </w:t>
      </w:r>
      <w:r>
        <w:rPr>
          <w:i/>
        </w:rPr>
        <w:t>capability manifest</w:t>
      </w:r>
      <w:r>
        <w:t xml:space="preserve"> and </w:t>
      </w:r>
      <w:r>
        <w:rPr>
          <w:i/>
        </w:rPr>
        <w:t>request replay</w:t>
      </w:r>
      <w:r>
        <w:t xml:space="preserve"> features on schedule.</w:t>
      </w:r>
    </w:p>
    <w:p>
      <w:pPr>
        <w:pStyle w:val="ListNumber"/>
      </w:pPr>
      <w:r>
        <w:t>API key management system</w:t>
      </w:r>
    </w:p>
    <w:p>
      <w:pPr>
        <w:pStyle w:val="ListNumber"/>
      </w:pPr>
      <w:r>
        <w:t>Device authentication flow (RFC 8628)</w:t>
      </w:r>
    </w:p>
    <w:p>
      <w:pPr>
        <w:pStyle w:val="ListNumber"/>
      </w:pPr>
      <w:r>
        <w:t>Billing entitlement enforcement</w:t>
      </w:r>
    </w:p>
    <w:p>
      <w:pPr>
        <w:pStyle w:val="Heading2"/>
      </w:pPr>
      <w:r>
        <w:t>Frontend Team</w:t>
      </w:r>
    </w:p>
    <w:p>
      <w:r>
        <w:t>Launched the interactive API playground with Swagger UI integration.</w:t>
      </w:r>
    </w:p>
    <w:p>
      <w:pPr>
        <w:pStyle w:val="Heading1"/>
      </w:pPr>
      <w:r>
        <w:t>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AILANG codegen bugs block Go compilation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Track 3 blocking bugs, workaround with interpreter</w:t>
            </w:r>
          </w:p>
        </w:tc>
      </w:tr>
      <w:tr>
        <w:tc>
          <w:tcPr>
            <w:tcW w:type="dxa" w:w="2880"/>
          </w:tcPr>
          <w:p>
            <w:r>
              <w:t>Moby Dick OOM on large documents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Implement streaming parser with FS budget increase</w:t>
            </w:r>
          </w:p>
        </w:tc>
      </w:tr>
      <w:tr>
        <w:tc>
          <w:tcPr>
            <w:tcW w:type="dxa" w:w="2880"/>
          </w:tcPr>
          <w:p>
            <w:r>
              <w:t>Competitor launches Office parsing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Maintain benchmark lead, focus on unique features</w:t>
            </w:r>
          </w:p>
        </w:tc>
      </w:tr>
    </w:tbl>
    <w:p>
      <w:pPr>
        <w:pStyle w:val="Heading1"/>
      </w:pPr>
      <w:r>
        <w:t>References</w:t>
      </w:r>
    </w:p>
    <w:p>
      <w:r>
        <w:t xml:space="preserve">Full API documentation: </w:t>
      </w:r>
      <w:hyperlink r:id="rId9">
        <w:r>
          <w:t>DocParse API Reference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unholo.com/docparse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