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Customer EDI Order Type Determination</w:t>
      </w:r>
    </w:p>
    <w:p>
      <w:pPr>
        <w:spacing w:before="200"/>
        <w:jc w:val="center"/>
      </w:pPr>
      <w:r>
        <w:rPr>
          <w:color w:val="808080"/>
          <w:sz w:val="28"/>
          <w:szCs w:val="28"/>
        </w:rPr>
        <w:t xml:space="preserve">SAP CAPM Service — Technical Design Document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for: Sold-to order type determination (SFDC / EDI → S/4HANA)</w:t>
      </w:r>
    </w:p>
    <w:p>
      <w:pPr>
        <w:spacing w:before="120"/>
        <w:jc w:val="center"/>
      </w:pPr>
      <w:r>
        <w:rPr>
          <w:sz w:val="22"/>
          <w:szCs w:val="22"/>
        </w:rPr>
        <w:t xml:space="preserve">Version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Decision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Order Type Rules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Data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Service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Open Items — Confirm Before Go-Live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Effort Estimate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Project Structure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design of a SAP CAPM (Cloud Application Programming Model) service that determines the correct SD order type before an order is created in S/4HANA. The service is called synchronously by both SFDC and the EDI middleware, and returns the order type (or a block reason) for each incoming order request.</w:t>
      </w:r>
    </w:p>
    <w:p>
      <w:pPr>
        <w:spacing w:after="120"/>
      </w:pPr>
      <w:r>
        <w:t xml:space="preserve">The logic was reverse-engineered from the business’s existing flowchart ("Customer EDI Order Type Determination Logic"), which splits into two branches depending on whether the sold-to is a consignment customer.</w:t>
      </w:r>
    </w:p>
    <w:p>
      <w:pPr>
        <w:pStyle w:val="Heading1"/>
        <w:spacing w:after="150" w:before="300"/>
      </w:pPr>
      <w:r>
        <w:t xml:space="preserve">2. Architecture</w:t>
      </w:r>
    </w:p>
    <w:p>
      <w:pPr>
        <w:spacing w:after="120"/>
      </w:pPr>
      <w:r>
        <w:t xml:space="preserve">The service sits between the ordering channels and S/4HANA: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SFDC / EDI middleware calls the CAPM action determineOrderType with sold-to customer, material, plant, and order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service calls three S/4HANA APIs: Business Partner, Sales Contract (header + item), and Serial Number Query.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rules table (business-maintainable) matches the retrieved facts to a leaf outcome: an order type, an optional chained order type, and/or a block reason.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determination is written to an audit log entity for traceability and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order type is returned to the calling channel, which proceeds to create the order / delivery in S/4 (BAPI_OUTB_DELIVERY_CREATENOTE for outbound delivery creation).</w:t>
      </w:r>
    </w:p>
    <w:p>
      <w:pPr>
        <w:pStyle w:val="Heading2"/>
        <w:spacing w:after="120" w:before="240"/>
      </w:pPr>
      <w:r>
        <w:t xml:space="preserve">2.1 Component Diagram (textual)</w:t>
      </w:r>
    </w:p>
    <w:p>
      <w:pPr>
        <w:spacing w:after="120"/>
      </w:pPr>
      <w:r>
        <w:t xml:space="preserve">SFDC  ─┐</w:t>
      </w:r>
    </w:p>
    <w:p>
      <w:pPr>
        <w:spacing w:after="120"/>
      </w:pPr>
      <w:r>
        <w:t xml:space="preserve">EDI   ─┴─→  OrderTypeDeterminationService (CAPM, Node.js, OData V4)</w:t>
      </w:r>
    </w:p>
    <w:p>
      <w:pPr>
        <w:spacing w:after="120"/>
      </w:pPr>
      <w:r>
        <w:t xml:space="preserve">                                │</w:t>
      </w:r>
    </w:p>
    <w:p>
      <w:pPr>
        <w:spacing w:after="120"/>
      </w:pPr>
      <w:r>
        <w:t xml:space="preserve">                ┌───────────┴───────────┐</w:t>
      </w:r>
    </w:p>
    <w:p>
      <w:pPr>
        <w:spacing w:after="120"/>
      </w:pPr>
      <w:r>
        <w:t xml:space="preserve">        S4 Business Partner   S4 Sales Contract   S4 Serial Number Query</w:t>
      </w:r>
    </w:p>
    <w:p>
      <w:pPr>
        <w:spacing w:after="120"/>
      </w:pPr>
      <w:r>
        <w:t xml:space="preserve">                │                     │                     │</w:t>
      </w:r>
    </w:p>
    <w:p>
      <w:pPr>
        <w:spacing w:after="120"/>
      </w:pPr>
      <w:r>
        <w:t xml:space="preserve">                └───────────┬───────────┘</w:t>
      </w:r>
    </w:p>
    <w:p>
      <w:pPr>
        <w:spacing w:after="120"/>
      </w:pPr>
      <w:r>
        <w:t xml:space="preserve">                          OrderTypeRules (rules table)</w:t>
      </w:r>
    </w:p>
    <w:p>
      <w:pPr>
        <w:spacing w:after="120"/>
      </w:pPr>
      <w:r>
        <w:t xml:space="preserve">                                │</w:t>
      </w:r>
    </w:p>
    <w:p>
      <w:pPr>
        <w:spacing w:after="120"/>
      </w:pPr>
      <w:r>
        <w:rPr>
          <w:i/>
          <w:iCs/>
        </w:rPr>
        <w:t xml:space="preserve">                       DeterminationLog (audit)</w:t>
      </w:r>
    </w:p>
    <w:p>
      <w:pPr>
        <w:pStyle w:val="Heading1"/>
        <w:spacing w:after="150" w:before="300"/>
      </w:pPr>
      <w:r>
        <w:t xml:space="preserve">3. Decision Logic</w:t>
      </w:r>
    </w:p>
    <w:p>
      <w:pPr>
        <w:spacing w:after="120"/>
      </w:pPr>
      <w:r>
        <w:t xml:space="preserve">The flowchart splits into two branches at the sold-to level: GENERAL (non-consignment) and CONSIGNMENT.</w:t>
      </w:r>
    </w:p>
    <w:p>
      <w:pPr>
        <w:pStyle w:val="Heading2"/>
        <w:spacing w:after="120" w:before="240"/>
      </w:pPr>
      <w:r>
        <w:t xml:space="preserve">3.1 General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 Item? → Fail: order type ZCFU (SFDC) or ZOR (EDI), flagged "missing serial number".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 Item? → Success → Sales Contract Item Query → stock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Stock Available → hard block (pending confirmation of intended order type).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found → Match Current Serial Number? → Success: order type ZCIS+ZBLO.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not matched → BO provided? → Yes: ZOR (flagged) | No: ZBLO (flagged).</w:t>
      </w:r>
    </w:p>
    <w:p>
      <w:pPr>
        <w:pStyle w:val="Heading2"/>
        <w:spacing w:after="120" w:before="240"/>
      </w:pPr>
      <w:r>
        <w:t xml:space="preserve">3.2 Consignment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 Contract → Fail (not a consignment customer) → continues into Serial Number Query / Get Customer sub-flow (not a terminal outcome).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Customer → Fail → No Stock Available → order type ZOR, flagged "missing serial number".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Customer → Success → Serial Number At Customer Site (ECUS without ESTO)?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ECUS without ESTO = No → Transfer Serial to current customer (VL01NO) → order type ZCIS, then chained order type ZBLO.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ECUS without ESTO = Yes → BO code? → Yes: ZBLO | No: ZOR.</w:t>
      </w:r>
    </w:p>
    <w:p>
      <w:pPr>
        <w:pStyle w:val="Heading2"/>
        <w:spacing w:after="120" w:before="240"/>
      </w:pPr>
      <w:r>
        <w:t xml:space="preserve">3.3 "Missing Serial Number" Flag</w:t>
      </w:r>
    </w:p>
    <w:p>
      <w:pPr>
        <w:spacing w:after="120"/>
      </w:pPr>
      <w:r>
        <w:t xml:space="preserve">Per the original diagram’s note, order types shown in a red rectangle are not blocked outright — an order type is still determined and returned, but the result carries a flaggedMissingSerial indicator so the outcome can be routed for manual review.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Order Type Rules Table</w:t>
      </w:r>
    </w:p>
    <w:p>
      <w:pPr>
        <w:spacing w:after="120"/>
      </w:pPr>
      <w:r>
        <w:t xml:space="preserve">This table is seeded at deployment and remains business-maintainable via the admin OData entity / a Fiori Elements app, without requiring a code redeployment.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13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8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8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0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 Type</w:t>
            </w:r>
          </w:p>
        </w:tc>
        <w:tc>
          <w:tcPr>
            <w:tcW w:type="dxa" w:w="8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Chained</w:t>
            </w:r>
          </w:p>
        </w:tc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- item not found (SFDC)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not found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SFDC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ZCFU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- item not found (EDI)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not found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</w:t>
            </w:r>
          </w:p>
        </w:tc>
        <w:tc>
          <w:tcPr>
            <w:tcW w:type="dxa" w:w="1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ZOR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- serial matched success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+ stock + serial matched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ZCIS+ZBLO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- serial not matched, BO provided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mismatch, BO = Yes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ZOR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- serial not matched, no BO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mismatch, BO = No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ZBLO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 - get customer fail, no stock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</w:t>
            </w:r>
          </w:p>
        </w:tc>
        <w:tc>
          <w:tcPr>
            <w:tcW w:type="dxa" w:w="2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lookup fails, no stock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ZOR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 - ECUS w/o ESTO, BO yes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customer site, BO = Yes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ZBLO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 - ECUS w/o ESTO, BO no</w:t>
            </w:r>
          </w:p>
        </w:tc>
        <w:tc>
          <w:tcPr>
            <w:tcW w:type="dxa" w:w="13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</w:t>
            </w:r>
          </w:p>
        </w:tc>
        <w:tc>
          <w:tcPr>
            <w:tcW w:type="dxa" w:w="2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customer site, BO = No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ZOR</w:t>
            </w:r>
          </w:p>
        </w:tc>
        <w:tc>
          <w:tcPr>
            <w:tcW w:type="dxa" w:w="8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 - transfer serial to current customer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transfer required (VL01NO)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ZCIS</w:t>
            </w:r>
          </w:p>
        </w:tc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ZBLO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Data Model</w:t>
      </w:r>
    </w:p>
    <w:p>
      <w:pPr>
        <w:pStyle w:val="Heading2"/>
        <w:spacing w:after="120" w:before="240"/>
      </w:pPr>
      <w:r>
        <w:t xml:space="preserve">5.1 OrderTypeRules</w:t>
      </w:r>
    </w:p>
    <w:p>
      <w:pPr>
        <w:spacing w:after="120"/>
      </w:pPr>
      <w:r>
        <w:t xml:space="preserve">Business-maintainable rules table. Nullable match columns act as wildcards: itemFound, hasContract, stockAvailable, serialMatched, boProvided, targetChannel, priority, orderType, chainedOrderType, hardBlock, blockReason, flaggedMissingSerial, active.</w:t>
      </w:r>
    </w:p>
    <w:p>
      <w:pPr>
        <w:pStyle w:val="Heading2"/>
        <w:spacing w:after="120" w:before="240"/>
      </w:pPr>
      <w:r>
        <w:t xml:space="preserve">5.2 DeterminationLog</w:t>
      </w:r>
    </w:p>
    <w:p>
      <w:pPr>
        <w:spacing w:after="120"/>
      </w:pPr>
      <w:r>
        <w:t xml:space="preserve">Audit trail written on every call: orderSource, soldToCustomer, material, plant, flowBranch, customerFound, contractFound, contractNumber, resultOrderType, chainedOrderType, blocked, blockReason, matchedRule, durationMs.</w:t>
      </w:r>
    </w:p>
    <w:p>
      <w:pPr>
        <w:pStyle w:val="Heading2"/>
        <w:spacing w:after="120" w:before="240"/>
      </w:pPr>
      <w:r>
        <w:t xml:space="preserve">5.3 CustomerCache</w:t>
      </w:r>
    </w:p>
    <w:p>
      <w:pPr>
        <w:spacing w:after="120"/>
      </w:pPr>
      <w:r>
        <w:t xml:space="preserve">Optional short-lived cache to avoid re-querying the Business Partner API for repeat sold-tos within a batch processing window.</w:t>
      </w:r>
    </w:p>
    <w:p>
      <w:pPr>
        <w:pStyle w:val="Heading1"/>
        <w:spacing w:after="150" w:before="300"/>
      </w:pPr>
      <w:r>
        <w:t xml:space="preserve">6. Service API</w:t>
      </w:r>
    </w:p>
    <w:p>
      <w:pPr>
        <w:pStyle w:val="Heading2"/>
        <w:spacing w:after="120" w:before="240"/>
      </w:pPr>
      <w:r>
        <w:t xml:space="preserve">6.1 determineOrderType (action)</w:t>
      </w:r>
    </w:p>
    <w:p>
      <w:pPr>
        <w:spacing w:after="120"/>
      </w:pPr>
      <w:r>
        <w:t xml:space="preserve">Request: soldToCustomer, material, plant, orderSource (SFDC | EDI).</w:t>
      </w:r>
    </w:p>
    <w:p>
      <w:pPr>
        <w:spacing w:after="120"/>
      </w:pPr>
      <w:r>
        <w:t xml:space="preserve">Response: orderType, chainedOrderType, blocked, blockReason, flaggedMissingSerial, flowBranch, logId.</w:t>
      </w:r>
    </w:p>
    <w:p>
      <w:pPr>
        <w:pStyle w:val="Heading2"/>
        <w:spacing w:after="120" w:before="240"/>
      </w:pPr>
      <w:r>
        <w:t xml:space="preserve">6.2 Admin entity</w:t>
      </w:r>
    </w:p>
    <w:p>
      <w:pPr>
        <w:spacing w:after="120"/>
      </w:pPr>
      <w:r>
        <w:t xml:space="preserve">OrderTypeRules is exposed read/write via a separate admin service so business users can update the mapping table directly.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Open Items — Confirm Before Go-Live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C0000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C0000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shd w:fill="C00000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 code / "BO provided" source field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Neither crop shows which field or API feeds this decision. Hardcoded to false with TODO markers in decision-engine.js.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Consignment classification signal</w:t>
            </w:r>
          </w:p>
        </w:tc>
        <w:tc>
          <w:tcPr>
            <w:tcW w:type="dxa" w:w="6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derived from InventorySpecialStockType = "W" on the sales contract item. Needs confirmation this is the correct signal vs. a BP-level flag.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branch "No Stock Available" outcome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 shows no visible onward arrow to a green order-type box. Modeled as a hard block pending confirmation.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ZCFU vs. ZOR on "item not found"</w:t>
            </w:r>
          </w:p>
        </w:tc>
        <w:tc>
          <w:tcPr>
            <w:tcW w:type="dxa" w:w="6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were circled together in the same red box. Modeled as channel-specific (ZCFU=SFDC, ZOR=EDI) pending confirmation.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ZCIS -&gt; ZBLO chain execution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whether this needs two separate S/4 order creation calls or one combined document type.</w:t>
            </w:r>
          </w:p>
        </w:tc>
      </w:tr>
    </w:tbl>
    <w:p>
      <w:pPr>
        <w:pStyle w:val="Heading1"/>
        <w:spacing w:after="150" w:before="300"/>
      </w:pPr>
      <w:r>
        <w:t xml:space="preserve">8. Effort Estimate</w:t>
      </w:r>
    </w:p>
    <w:p>
      <w:pPr>
        <w:spacing w:after="120"/>
      </w:pPr>
      <w:r>
        <w:t xml:space="preserve">Estimate assumes one experienced CAPM developer with S/4HANA destinations already provisioned.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 (days)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CDS data model (schema + service defs)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7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Remote service integration (BP, Sales Contract, Serial Number APIs)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2 - 3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logic / rules engine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Logging / audit entity + handler wiring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 seed data + business validation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(reduced - codes now confirmed)</w:t>
            </w:r>
          </w:p>
        </w:tc>
      </w:tr>
      <w:tr>
        <w:tc>
          <w:tcPr>
            <w:tcW w:type="dxa" w:w="7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tests + mocking remote services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handling, resilience (retries, timeouts)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Fiori Elements app (optional)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1.5 - 2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SFDC / EDI integration testing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1.5 - 2</w:t>
            </w:r>
          </w:p>
        </w:tc>
      </w:tr>
      <w:tr>
        <w:tc>
          <w:tcPr>
            <w:tcW w:type="dxa" w:w="7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Deployment to BTP (destinations, CI/CD)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 + handover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Total: approximately 10 - 13 developer-days (roughly 2 - 2.5 weeks calendar time).</w:t>
      </w:r>
    </w:p>
    <w:p>
      <w:pPr>
        <w:pStyle w:val="Heading1"/>
        <w:spacing w:after="150" w:before="300"/>
      </w:pPr>
      <w:r>
        <w:t xml:space="preserve">9. Project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db/schema.cds — rules table, audit log, customer cache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db/data/*.csv — seed data for OrderTypeRules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srv/order-type-service.cds — determineOrderType action + admin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srv/order-type-service.js — handler, writes audit 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srv/lib/decision-engine.js — walks both branches, matches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srv/lib/s4-adapters.js — wrappers around S/4 remote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srv/external/*.cds — stand-in models for S/4 APIs (replace via cds import)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test/decision-engine.test.js — Jest tests with mocked S/4 responses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Order Type Determination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2026-09-10T06:07:41.096Z</dcterms:created>
  <dcterms:modified xsi:type="dcterms:W3CDTF">2026-09-10T06:07:41.096Z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