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jc w:val="left"/>
      </w:pPr>
      <w:r>
        <w:t xml:space="preserve">Cart Abandonment Reduction – Checkout Experience PRD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Problem</w:t>
      </w:r>
    </w:p>
    <w:p>
      <w:pPr>
        <w:spacing w:line="240"/>
        <w:jc w:val="left"/>
      </w:pPr>
      <w:r>
        <w:t xml:space="preserve">65% of users abandon their carts before purchasing, with a significant drop-off specifically at the payment step. Internal data and funnel analytics point to four competing hypotheses, each backed by a different team: (1) unreliable payment flows (frequent UPI/card failures), (2) lack of visible Cash on Delivery (COD) options early in the checkout, (3) unexpected additional fees (shipping or taxes) surfacing only at the final step, and (4) slow page loads on the payment screen. Customers experience surprise or frustration, eroding trust and leading to lost business. The opportunity is material: recovering even a portion of this lost GMV directly lifts top-line revenue.</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High Level Approach</w:t>
      </w:r>
    </w:p>
    <w:p>
      <w:pPr>
        <w:spacing w:line="240"/>
        <w:jc w:val="left"/>
      </w:pPr>
      <w:r>
        <w:t xml:space="preserve">Pursue a phased solution. </w:t>
      </w:r>
      <w:r>
        <w:rPr>
          <w:b/>
          <w:bCs/>
        </w:rPr>
        <w:t xml:space="preserve">Phase 1</w:t>
      </w:r>
      <w:r>
        <w:t xml:space="preserve"> is a focused, 4-week diagnostic and quick-win sprint: instrument the funnel granularly, immediately fix low-hanging issues (fee transparency, COD visibility), and optimize obvious technical bottlenecks (load time)—all based on minimal engineering lift. </w:t>
      </w:r>
      <w:r>
        <w:rPr>
          <w:b/>
          <w:bCs/>
        </w:rPr>
        <w:t xml:space="preserve">Phase 2</w:t>
      </w:r>
      <w:r>
        <w:t xml:space="preserve"> is a full checkout redesign, but only after collecting hard evidence on exact failure points from Phase 1. This minimizes risk of wasted resources and directly targets the hypothesized causes.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Narrative</w:t>
      </w:r>
    </w:p>
    <w:p>
      <w:pPr>
        <w:pStyle w:val="ListParagraph"/>
        <w:numPr>
          <w:ilvl w:val="0"/>
          <w:numId w:val="1"/>
        </w:numPr>
        <w:spacing w:line="240"/>
        <w:jc w:val="left"/>
      </w:pPr>
      <w:r>
        <w:rPr>
          <w:b/>
          <w:bCs/>
        </w:rPr>
        <w:t xml:space="preserve">Common use case:</w:t>
      </w:r>
      <w:r>
        <w:br/>
        <w:t xml:space="preserve"/>
      </w:r>
      <w:r>
        <w:rPr>
          <w:i/>
          <w:iCs/>
        </w:rPr>
        <w:t xml:space="preserve">Priya</w:t>
      </w:r>
      <w:r>
        <w:t xml:space="preserve">, 28, a marketing executive in Bengaluru, shops on her phone during her lunch break. She finds a phone case she likes — ₹349, seems reasonable. She taps "Buy Now," enters her address, and reaches the payment screen. For the first time, she sees a ₹99 shipping fee and ₹42 in taxes appended to her total. That's a 40% price jump from what she'd mentally committed to paying. She doesn't abandon because she's cheap — she abandons because she feels deceived. She closes the app and buys from a competitor whose product page showed her the full price upfront.</w:t>
      </w:r>
    </w:p>
    <w:p>
      <w:pPr>
        <w:pStyle w:val="ListParagraph"/>
        <w:numPr>
          <w:ilvl w:val="0"/>
          <w:numId w:val="1"/>
        </w:numPr>
        <w:spacing w:line="240"/>
        <w:jc w:val="left"/>
      </w:pPr>
      <w:r>
        <w:rPr>
          <w:b/>
          <w:bCs/>
        </w:rPr>
        <w:t xml:space="preserve">Edge case:</w:t>
      </w:r>
      <w:r>
        <w:br/>
        <w:t xml:space="preserve"/>
      </w:r>
      <w:r>
        <w:rPr>
          <w:i/>
          <w:iCs/>
        </w:rPr>
        <w:t xml:space="preserve">Rahul</w:t>
      </w:r>
      <w:r>
        <w:t xml:space="preserve">, 34, a schoolteacher in Gorakhpur, is buying a water purifier — his first online purchase above ₹5,000. He's already nervous about online payments. He scrolls through the checkout carefully, looking for Cash on Delivery. He doesn't see it mentioned anywhere until the final payment screen, and even there it's listed in small text below the UPI and card options. He misses it entirely, assumes COD isn't available, and abandons — not because he couldn't pay, but because the interface didn't give him the reassurance he needed at the moment he needed it. He'll walk to the local electronics store instead.</w:t>
      </w:r>
    </w:p>
    <w:p>
      <w:pPr>
        <w:pStyle w:val="ListParagraph"/>
        <w:numPr>
          <w:ilvl w:val="0"/>
          <w:numId w:val="1"/>
        </w:numPr>
        <w:spacing w:line="240"/>
        <w:jc w:val="left"/>
      </w:pPr>
      <w:r>
        <w:rPr>
          <w:b/>
          <w:bCs/>
        </w:rPr>
        <w:t xml:space="preserve">Before/after:</w:t>
      </w:r>
      <w:r>
        <w:br/>
        <w:t xml:space="preserve"/>
      </w:r>
      <w:r>
        <w:rPr>
          <w:b/>
          <w:bCs/>
        </w:rPr>
        <w:t xml:space="preserve">Today:</w:t>
      </w:r>
      <w:r>
        <w:t xml:space="preserve"> Checkout is a funnel of escalating anxiety. Each new screen can introduce a new cost, a missing option, or a failed transaction. By the time users reach the payment screen, trust is already fragile — one surprise breaks it entirely.</w:t>
      </w:r>
      <w:r>
        <w:br/>
        <w:t xml:space="preserve"/>
      </w:r>
      <w:r>
        <w:rPr>
          <w:b/>
          <w:bCs/>
        </w:rPr>
        <w:t xml:space="preserve">After:</w:t>
      </w:r>
      <w:r>
        <w:t xml:space="preserve"> Priya sees the ₹99 shipping fee on the product page before she even adds to cart. She adjusts expectations immediately, proceeds with full information, and completes the purchase in under 3 minutes. Rahul sees a green "Cash on Delivery available in Gorakhpur" badge the moment he opens his cart. He doesn't need to search — the experience surfaces the answer to his unspoken question before he has to ask.</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Goals</w:t>
      </w:r>
    </w:p>
    <w:p>
      <w:pPr>
        <w:pStyle w:val="Heading3"/>
        <w:spacing w:line="240"/>
        <w:jc w:val="left"/>
      </w:pPr>
      <w:r>
        <w:t xml:space="preserve">Measurable Goals</w:t>
      </w:r>
    </w:p>
    <w:p>
      <w:pPr>
        <w:pStyle w:val="ListParagraph"/>
        <w:numPr>
          <w:ilvl w:val="0"/>
          <w:numId w:val="1"/>
        </w:numPr>
        <w:spacing w:line="240"/>
        <w:jc w:val="left"/>
      </w:pPr>
      <w:r>
        <w:rPr>
          <w:b/>
          <w:bCs/>
        </w:rPr>
        <w:t xml:space="preserve">Reduce cart abandonment rate:</w:t>
      </w:r>
      <w:r>
        <w:t xml:space="preserve"> 65% → 50% within 90 days of Phase 2 launch</w:t>
      </w:r>
    </w:p>
    <w:p>
      <w:pPr>
        <w:pStyle w:val="ListParagraph"/>
        <w:numPr>
          <w:ilvl w:val="0"/>
          <w:numId w:val="1"/>
        </w:numPr>
        <w:spacing w:line="240"/>
        <w:jc w:val="left"/>
      </w:pPr>
      <w:r>
        <w:rPr>
          <w:b/>
          <w:bCs/>
        </w:rPr>
        <w:t xml:space="preserve">Reduce payment step drop-off rate:</w:t>
      </w:r>
      <w:r>
        <w:t xml:space="preserve"> By 30% from current baseline</w:t>
      </w:r>
    </w:p>
    <w:p>
      <w:pPr>
        <w:pStyle w:val="ListParagraph"/>
        <w:numPr>
          <w:ilvl w:val="0"/>
          <w:numId w:val="1"/>
        </w:numPr>
        <w:spacing w:line="240"/>
        <w:jc w:val="left"/>
      </w:pPr>
      <w:r>
        <w:rPr>
          <w:b/>
          <w:bCs/>
        </w:rPr>
        <w:t xml:space="preserve">Increase checkout completion rate:</w:t>
      </w:r>
      <w:r>
        <w:t xml:space="preserve"> By 20% from baseline</w:t>
      </w:r>
    </w:p>
    <w:p>
      <w:pPr>
        <w:pStyle w:val="Heading3"/>
        <w:spacing w:line="240"/>
        <w:jc w:val="left"/>
      </w:pPr>
      <w:r>
        <w:t xml:space="preserve">Immeasurable Goals</w:t>
      </w:r>
    </w:p>
    <w:p>
      <w:pPr>
        <w:pStyle w:val="ListParagraph"/>
        <w:numPr>
          <w:ilvl w:val="0"/>
          <w:numId w:val="1"/>
        </w:numPr>
        <w:spacing w:line="240"/>
        <w:jc w:val="left"/>
      </w:pPr>
      <w:r>
        <w:t xml:space="preserve">Users should feel </w:t>
      </w:r>
      <w:r>
        <w:rPr>
          <w:i/>
          <w:iCs/>
        </w:rPr>
        <w:t xml:space="preserve">confident</w:t>
      </w:r>
      <w:r>
        <w:t xml:space="preserve"> and </w:t>
      </w:r>
      <w:r>
        <w:rPr>
          <w:i/>
          <w:iCs/>
        </w:rPr>
        <w:t xml:space="preserve">unsurprised</w:t>
      </w:r>
      <w:r>
        <w:t xml:space="preserve"> throughout checkout.</w:t>
      </w:r>
    </w:p>
    <w:p>
      <w:pPr>
        <w:pStyle w:val="ListParagraph"/>
        <w:numPr>
          <w:ilvl w:val="0"/>
          <w:numId w:val="1"/>
        </w:numPr>
        <w:spacing w:line="240"/>
        <w:jc w:val="left"/>
      </w:pPr>
      <w:r>
        <w:t xml:space="preserve">The experience should feel </w:t>
      </w:r>
      <w:r>
        <w:rPr>
          <w:i/>
          <w:iCs/>
        </w:rPr>
        <w:t xml:space="preserve">fast</w:t>
      </w:r>
      <w:r>
        <w:t xml:space="preserve">, </w:t>
      </w:r>
      <w:r>
        <w:rPr>
          <w:i/>
          <w:iCs/>
        </w:rPr>
        <w:t xml:space="preserve">transparent</w:t>
      </w:r>
      <w:r>
        <w:t xml:space="preserve">, and </w:t>
      </w:r>
      <w:r>
        <w:rPr>
          <w:i/>
          <w:iCs/>
        </w:rPr>
        <w:t xml:space="preserve">trustworthy</w:t>
      </w:r>
      <w:r>
        <w:t xml:space="preserve">.</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Metrics</w:t>
      </w:r>
    </w:p>
    <w:p>
      <w:pPr>
        <w:pStyle w:val="Heading3"/>
        <w:spacing w:line="240"/>
        <w:jc w:val="left"/>
      </w:pPr>
      <w:r>
        <w:t xml:space="preserve">North Star Metric</w:t>
      </w:r>
    </w:p>
    <w:p>
      <w:pPr>
        <w:pStyle w:val="ListParagraph"/>
        <w:numPr>
          <w:ilvl w:val="0"/>
          <w:numId w:val="1"/>
        </w:numPr>
        <w:spacing w:line="240"/>
        <w:jc w:val="left"/>
      </w:pPr>
      <w:r>
        <w:rPr>
          <w:b/>
          <w:bCs/>
        </w:rPr>
        <w:t xml:space="preserve">Metric:</w:t>
      </w:r>
      <w:r>
        <w:t xml:space="preserve"> Checkout Completion Rate (CCR)</w:t>
      </w:r>
    </w:p>
    <w:p>
      <w:pPr>
        <w:pStyle w:val="ListParagraph"/>
        <w:numPr>
          <w:ilvl w:val="0"/>
          <w:numId w:val="1"/>
        </w:numPr>
        <w:spacing w:line="240"/>
        <w:jc w:val="left"/>
      </w:pPr>
      <w:r>
        <w:rPr>
          <w:b/>
          <w:bCs/>
        </w:rPr>
        <w:t xml:space="preserve">Current baseline:</w:t>
      </w:r>
      <w:r>
        <w:t xml:space="preserve"> ~35%</w:t>
      </w:r>
    </w:p>
    <w:p>
      <w:pPr>
        <w:pStyle w:val="ListParagraph"/>
        <w:numPr>
          <w:ilvl w:val="0"/>
          <w:numId w:val="1"/>
        </w:numPr>
        <w:spacing w:line="240"/>
        <w:jc w:val="left"/>
      </w:pPr>
      <w:r>
        <w:rPr>
          <w:b/>
          <w:bCs/>
        </w:rPr>
        <w:t xml:space="preserve">Target:</w:t>
      </w:r>
      <w:r>
        <w:t xml:space="preserve"> 50%</w:t>
      </w:r>
    </w:p>
    <w:p>
      <w:pPr>
        <w:pStyle w:val="ListParagraph"/>
        <w:numPr>
          <w:ilvl w:val="0"/>
          <w:numId w:val="1"/>
        </w:numPr>
        <w:spacing w:line="240"/>
        <w:jc w:val="left"/>
      </w:pPr>
      <w:r>
        <w:rPr>
          <w:b/>
          <w:bCs/>
        </w:rPr>
        <w:t xml:space="preserve">Measurement:</w:t>
      </w:r>
      <w:r>
        <w:t xml:space="preserve"> Web/app analytics, event funnel tracking from cart to order confirmation</w:t>
      </w:r>
    </w:p>
    <w:p>
      <w:pPr>
        <w:pStyle w:val="Heading3"/>
        <w:spacing w:line="240"/>
        <w:jc w:val="left"/>
      </w:pPr>
      <w:r>
        <w:t xml:space="preserve">Secondary Metrics</w:t>
      </w:r>
    </w:p>
    <w:p>
      <w:pPr>
        <w:pStyle w:val="ListParagraph"/>
        <w:numPr>
          <w:ilvl w:val="0"/>
          <w:numId w:val="1"/>
        </w:numPr>
        <w:spacing w:line="240"/>
        <w:jc w:val="left"/>
      </w:pPr>
      <w:r>
        <w:t xml:space="preserve">Payment step drop-off rate: 65% → 45%</w:t>
      </w:r>
    </w:p>
    <w:p>
      <w:pPr>
        <w:pStyle w:val="ListParagraph"/>
        <w:numPr>
          <w:ilvl w:val="0"/>
          <w:numId w:val="1"/>
        </w:numPr>
        <w:spacing w:line="240"/>
        <w:jc w:val="left"/>
      </w:pPr>
      <w:r>
        <w:t xml:space="preserve">COD selection rate: Monitor for increase as COD discovery improves</w:t>
      </w:r>
    </w:p>
    <w:p>
      <w:pPr>
        <w:pStyle w:val="ListParagraph"/>
        <w:numPr>
          <w:ilvl w:val="0"/>
          <w:numId w:val="1"/>
        </w:numPr>
        <w:spacing w:line="240"/>
        <w:jc w:val="left"/>
      </w:pPr>
      <w:r>
        <w:t xml:space="preserve">Avg. page load time (payment screen): Target &lt; 2s</w:t>
      </w:r>
    </w:p>
    <w:p>
      <w:pPr>
        <w:pStyle w:val="ListParagraph"/>
        <w:numPr>
          <w:ilvl w:val="0"/>
          <w:numId w:val="1"/>
        </w:numPr>
        <w:spacing w:line="240"/>
        <w:jc w:val="left"/>
      </w:pPr>
      <w:r>
        <w:t xml:space="preserve">Fee-related support tickets: Track for reduction</w:t>
      </w:r>
    </w:p>
    <w:p>
      <w:pPr>
        <w:pStyle w:val="Heading3"/>
        <w:spacing w:line="240"/>
        <w:jc w:val="left"/>
      </w:pPr>
      <w:r>
        <w:t xml:space="preserve">Guardrail Metrics</w:t>
      </w:r>
    </w:p>
    <w:p>
      <w:pPr>
        <w:pStyle w:val="ListParagraph"/>
        <w:numPr>
          <w:ilvl w:val="0"/>
          <w:numId w:val="1"/>
        </w:numPr>
        <w:spacing w:line="240"/>
        <w:jc w:val="left"/>
      </w:pPr>
      <w:r>
        <w:t xml:space="preserve">Average order value (AOV): Must remain within 3% of baseline (any drop &gt;3% unacceptable)</w:t>
      </w:r>
    </w:p>
    <w:p>
      <w:pPr>
        <w:pStyle w:val="ListParagraph"/>
        <w:numPr>
          <w:ilvl w:val="0"/>
          <w:numId w:val="1"/>
        </w:numPr>
        <w:spacing w:line="240"/>
        <w:jc w:val="left"/>
      </w:pPr>
      <w:r>
        <w:t xml:space="preserve">Payment fraud rate: Must not increase above current</w:t>
      </w:r>
    </w:p>
    <w:p>
      <w:pPr>
        <w:pStyle w:val="ListParagraph"/>
        <w:numPr>
          <w:ilvl w:val="0"/>
          <w:numId w:val="1"/>
        </w:numPr>
        <w:spacing w:line="240"/>
        <w:jc w:val="left"/>
      </w:pPr>
      <w:r>
        <w:t xml:space="preserve">Return rate: Must remain flat (do not induce more product returns)</w:t>
      </w:r>
    </w:p>
    <w:p>
      <w:pPr>
        <w:pStyle w:val="ListParagraph"/>
        <w:numPr>
          <w:ilvl w:val="0"/>
          <w:numId w:val="1"/>
        </w:numPr>
        <w:spacing w:line="240"/>
        <w:jc w:val="left"/>
      </w:pPr>
      <w:r>
        <w:t xml:space="preserve">COD-specific return rate: Must not exceed overall return rate baseline by more than 5 percentage points. A spike here indicates COD visibility is recovering low-intent carts, not genuine demand. Triggers a review of COD eligibility rules if breached.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Impact Sizing Model</w:t>
      </w:r>
    </w:p>
    <w:p>
      <w:pPr>
        <w:pStyle w:val="Heading3"/>
        <w:spacing w:line="240"/>
        <w:jc w:val="left"/>
      </w:pPr>
      <w:r>
        <w:t xml:space="preserve">Calculation</w:t>
      </w:r>
    </w:p>
    <w:p>
      <w:pPr>
        <w:pStyle w:val="ListParagraph"/>
        <w:numPr>
          <w:ilvl w:val="0"/>
          <w:numId w:val="2"/>
        </w:numPr>
        <w:spacing w:line="240"/>
        <w:jc w:val="left"/>
      </w:pPr>
      <w:r>
        <w:rPr>
          <w:b/>
          <w:bCs/>
        </w:rPr>
        <w:t xml:space="preserve">Monthly cart sessions:</w:t>
      </w:r>
      <w:r>
        <w:t xml:space="preserve"> 10 million — source: analytics backend</w:t>
      </w:r>
    </w:p>
    <w:p>
      <w:pPr>
        <w:pStyle w:val="ListParagraph"/>
        <w:numPr>
          <w:ilvl w:val="0"/>
          <w:numId w:val="2"/>
        </w:numPr>
        <w:spacing w:line="240"/>
        <w:jc w:val="left"/>
      </w:pPr>
      <w:r>
        <w:rPr>
          <w:b/>
          <w:bCs/>
        </w:rPr>
        <w:t xml:space="preserve">Cart abandon rate:</w:t>
      </w:r>
      <w:r>
        <w:t xml:space="preserve"> 65% → 6,500,000 abandoned carts/month</w:t>
      </w:r>
    </w:p>
    <w:p>
      <w:pPr>
        <w:pStyle w:val="ListParagraph"/>
        <w:numPr>
          <w:ilvl w:val="0"/>
          <w:numId w:val="2"/>
        </w:numPr>
        <w:spacing w:line="240"/>
        <w:jc w:val="left"/>
      </w:pPr>
      <w:r>
        <w:rPr>
          <w:b/>
          <w:bCs/>
        </w:rPr>
        <w:t xml:space="preserve">Average order value:</w:t>
      </w:r>
      <w:r>
        <w:t xml:space="preserve"> ₹1,200 — source: historical GMV data</w:t>
      </w:r>
    </w:p>
    <w:p>
      <w:pPr>
        <w:pStyle w:val="ListParagraph"/>
        <w:numPr>
          <w:ilvl w:val="0"/>
          <w:numId w:val="2"/>
        </w:numPr>
        <w:spacing w:line="240"/>
        <w:jc w:val="left"/>
      </w:pPr>
      <w:r>
        <w:rPr>
          <w:b/>
          <w:bCs/>
        </w:rPr>
        <w:t xml:space="preserve">Recoverable percentage:</w:t>
      </w:r>
      <w:r>
        <w:t xml:space="preserve"> Assume 10% of abandoned carts are recoverable via these solutions (650,000 incremental completed orders)</w:t>
      </w:r>
    </w:p>
    <w:p>
      <w:pPr>
        <w:pStyle w:val="ListParagraph"/>
        <w:numPr>
          <w:ilvl w:val="0"/>
          <w:numId w:val="2"/>
        </w:numPr>
        <w:spacing w:line="240"/>
        <w:jc w:val="left"/>
      </w:pPr>
      <w:r>
        <w:rPr>
          <w:b/>
          <w:bCs/>
        </w:rPr>
        <w:t xml:space="preserve">Incremental monthly GMV:</w:t>
      </w:r>
      <w:r>
        <w:t xml:space="preserve"> 650,000 × ₹1,200 = </w:t>
      </w:r>
      <w:r>
        <w:rPr>
          <w:b/>
          <w:bCs/>
        </w:rPr>
        <w:t xml:space="preserve">₹78 crore/month</w:t>
      </w:r>
    </w:p>
    <w:p>
      <w:pPr>
        <w:pStyle w:val="Heading3"/>
        <w:spacing w:line="240"/>
        <w:jc w:val="left"/>
      </w:pPr>
      <w:r>
        <w:t xml:space="preserve">Revenue/Bottom-Line Impact</w:t>
      </w:r>
    </w:p>
    <w:p>
      <w:pPr>
        <w:pStyle w:val="ListParagraph"/>
        <w:numPr>
          <w:ilvl w:val="0"/>
          <w:numId w:val="1"/>
        </w:numPr>
        <w:spacing w:line="240"/>
        <w:jc w:val="left"/>
      </w:pPr>
      <w:r>
        <w:rPr>
          <w:b/>
          <w:bCs/>
        </w:rPr>
        <w:t xml:space="preserve">Estimated impact:</w:t>
      </w:r>
      <w:r>
        <w:t xml:space="preserve"> Incremental GMV of ₹78 crore/month if model holds</w:t>
      </w:r>
    </w:p>
    <w:p>
      <w:pPr>
        <w:pStyle w:val="ListParagraph"/>
        <w:numPr>
          <w:ilvl w:val="0"/>
          <w:numId w:val="1"/>
        </w:numPr>
        <w:spacing w:line="240"/>
        <w:jc w:val="left"/>
      </w:pPr>
      <w:r>
        <w:rPr>
          <w:b/>
          <w:bCs/>
        </w:rPr>
        <w:t xml:space="preserve">Confidence level:</w:t>
      </w:r>
      <w:r>
        <w:t xml:space="preserve"> </w:t>
      </w:r>
      <w:r>
        <w:rPr>
          <w:i/>
          <w:iCs/>
        </w:rPr>
        <w:t xml:space="preserve">Medium</w:t>
      </w:r>
    </w:p>
    <w:p>
      <w:pPr>
        <w:pStyle w:val="ListParagraph"/>
        <w:numPr>
          <w:ilvl w:val="0"/>
          <w:numId w:val="1"/>
        </w:numPr>
        <w:spacing w:line="240"/>
        <w:jc w:val="left"/>
      </w:pPr>
      <w:r>
        <w:rPr>
          <w:b/>
          <w:bCs/>
        </w:rPr>
        <w:t xml:space="preserve">Key assumption:</w:t>
      </w:r>
      <w:r>
        <w:t xml:space="preserve"> The above estimate assumes that most abandonment is due to UX frictions (solvable), and not price-sensitivity (less addressable via UX).</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Non-goals</w:t>
      </w:r>
    </w:p>
    <w:p>
      <w:pPr>
        <w:pStyle w:val="ListParagraph"/>
        <w:numPr>
          <w:ilvl w:val="0"/>
          <w:numId w:val="1"/>
        </w:numPr>
        <w:spacing w:line="240"/>
        <w:jc w:val="left"/>
      </w:pPr>
      <w:r>
        <w:rPr>
          <w:b/>
          <w:bCs/>
        </w:rPr>
        <w:t xml:space="preserve">Not doing:</w:t>
      </w:r>
      <w:r>
        <w:t xml:space="preserve"> Redesigning the product discovery or add-to-cart experience</w:t>
      </w:r>
      <w:r>
        <w:br/>
        <w:t xml:space="preserve"/>
      </w:r>
      <w:r>
        <w:rPr>
          <w:b/>
          <w:bCs/>
        </w:rPr>
        <w:t xml:space="preserve">Why:</w:t>
      </w:r>
      <w:r>
        <w:t xml:space="preserve"> Focused strictly on checkout; separate team owns upstream flow.</w:t>
      </w:r>
    </w:p>
    <w:p>
      <w:pPr>
        <w:pStyle w:val="ListParagraph"/>
        <w:numPr>
          <w:ilvl w:val="0"/>
          <w:numId w:val="1"/>
        </w:numPr>
        <w:spacing w:line="240"/>
        <w:jc w:val="left"/>
      </w:pPr>
      <w:r>
        <w:rPr>
          <w:b/>
          <w:bCs/>
        </w:rPr>
        <w:t xml:space="preserve">Not doing:</w:t>
      </w:r>
      <w:r>
        <w:t xml:space="preserve"> Building a new payment gateway or introducing new payment methods</w:t>
      </w:r>
      <w:r>
        <w:br/>
        <w:t xml:space="preserve"/>
      </w:r>
      <w:r>
        <w:rPr>
          <w:b/>
          <w:bCs/>
        </w:rPr>
        <w:t xml:space="preserve">Why:</w:t>
      </w:r>
      <w:r>
        <w:t xml:space="preserve"> This effort surfaces and optimizes existing payment rails only.</w:t>
      </w:r>
    </w:p>
    <w:p>
      <w:pPr>
        <w:pStyle w:val="ListParagraph"/>
        <w:numPr>
          <w:ilvl w:val="0"/>
          <w:numId w:val="1"/>
        </w:numPr>
        <w:spacing w:line="240"/>
        <w:jc w:val="left"/>
      </w:pPr>
      <w:r>
        <w:rPr>
          <w:b/>
          <w:bCs/>
        </w:rPr>
        <w:t xml:space="preserve">Not doing:</w:t>
      </w:r>
      <w:r>
        <w:t xml:space="preserve"> Discounting or price-based interventions</w:t>
      </w:r>
      <w:r>
        <w:br/>
        <w:t xml:space="preserve"/>
      </w:r>
      <w:r>
        <w:rPr>
          <w:b/>
          <w:bCs/>
        </w:rPr>
        <w:t xml:space="preserve">Why:</w:t>
      </w:r>
      <w:r>
        <w:t xml:space="preserve"> Price-sensitivity is out of scope for this technical/UX initiative.</w:t>
      </w:r>
    </w:p>
    <w:p>
      <w:pPr>
        <w:pStyle w:val="ListParagraph"/>
        <w:numPr>
          <w:ilvl w:val="0"/>
          <w:numId w:val="1"/>
        </w:numPr>
        <w:spacing w:line="240"/>
        <w:jc w:val="left"/>
      </w:pPr>
      <w:r>
        <w:rPr>
          <w:b/>
          <w:bCs/>
        </w:rPr>
        <w:t xml:space="preserve">Not doing:</w:t>
      </w:r>
      <w:r>
        <w:t xml:space="preserve"> Returns/refunds experience redesign</w:t>
      </w:r>
      <w:r>
        <w:br/>
        <w:t xml:space="preserve"/>
      </w:r>
      <w:r>
        <w:rPr>
          <w:b/>
          <w:bCs/>
        </w:rPr>
        <w:t xml:space="preserve">Why:</w:t>
      </w:r>
      <w:r>
        <w:t xml:space="preserve"> No impact on initial purchase conversion.</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Solution Alignment</w:t>
      </w:r>
    </w:p>
    <w:p>
      <w:pPr>
        <w:pStyle w:val="Heading3"/>
        <w:spacing w:line="240"/>
        <w:jc w:val="left"/>
      </w:pPr>
      <w:r>
        <w:t xml:space="preserve">What’s In</w:t>
      </w:r>
    </w:p>
    <w:p>
      <w:pPr>
        <w:pStyle w:val="ListParagraph"/>
        <w:numPr>
          <w:ilvl w:val="0"/>
          <w:numId w:val="1"/>
        </w:numPr>
        <w:spacing w:line="240"/>
        <w:jc w:val="left"/>
      </w:pPr>
      <w:r>
        <w:t xml:space="preserve">Full-funnel event instrumentation (from cart to confirmation)</w:t>
      </w:r>
    </w:p>
    <w:p>
      <w:pPr>
        <w:pStyle w:val="ListParagraph"/>
        <w:numPr>
          <w:ilvl w:val="0"/>
          <w:numId w:val="1"/>
        </w:numPr>
        <w:spacing w:line="240"/>
        <w:jc w:val="left"/>
      </w:pPr>
      <w:r>
        <w:t xml:space="preserve">Fee (shipping/tax) transparency on product details and cart pages</w:t>
      </w:r>
    </w:p>
    <w:p>
      <w:pPr>
        <w:pStyle w:val="ListParagraph"/>
        <w:numPr>
          <w:ilvl w:val="0"/>
          <w:numId w:val="1"/>
        </w:numPr>
        <w:spacing w:line="240"/>
        <w:jc w:val="left"/>
      </w:pPr>
      <w:r>
        <w:t xml:space="preserve">Upfront COD availability by pincode (cart page)</w:t>
      </w:r>
    </w:p>
    <w:p>
      <w:pPr>
        <w:pStyle w:val="ListParagraph"/>
        <w:numPr>
          <w:ilvl w:val="0"/>
          <w:numId w:val="1"/>
        </w:numPr>
        <w:spacing w:line="240"/>
        <w:jc w:val="left"/>
      </w:pPr>
      <w:r>
        <w:t xml:space="preserve">Payment failure detection and recovery (retry/alternate methods)</w:t>
      </w:r>
    </w:p>
    <w:p>
      <w:pPr>
        <w:pStyle w:val="ListParagraph"/>
        <w:numPr>
          <w:ilvl w:val="0"/>
          <w:numId w:val="1"/>
        </w:numPr>
        <w:spacing w:line="240"/>
        <w:jc w:val="left"/>
      </w:pPr>
      <w:r>
        <w:t xml:space="preserve">Optimization of payment page load (technical fixes, lazy loading)</w:t>
      </w:r>
    </w:p>
    <w:p>
      <w:pPr>
        <w:pStyle w:val="Heading3"/>
        <w:spacing w:line="240"/>
        <w:jc w:val="left"/>
      </w:pPr>
      <w:r>
        <w:t xml:space="preserve">What’s Out</w:t>
      </w:r>
    </w:p>
    <w:p>
      <w:pPr>
        <w:pStyle w:val="ListParagraph"/>
        <w:numPr>
          <w:ilvl w:val="0"/>
          <w:numId w:val="1"/>
        </w:numPr>
        <w:spacing w:line="240"/>
        <w:jc w:val="left"/>
      </w:pPr>
      <w:r>
        <w:t xml:space="preserve">New payment methods (BNPL, EMI as separate methods)</w:t>
      </w:r>
    </w:p>
    <w:p>
      <w:pPr>
        <w:pStyle w:val="ListParagraph"/>
        <w:numPr>
          <w:ilvl w:val="0"/>
          <w:numId w:val="1"/>
        </w:numPr>
        <w:spacing w:line="240"/>
        <w:jc w:val="left"/>
      </w:pPr>
      <w:r>
        <w:t xml:space="preserve">Loyalty/rewards integration</w:t>
      </w:r>
    </w:p>
    <w:p>
      <w:pPr>
        <w:pStyle w:val="ListParagraph"/>
        <w:numPr>
          <w:ilvl w:val="0"/>
          <w:numId w:val="1"/>
        </w:numPr>
        <w:spacing w:line="240"/>
        <w:jc w:val="left"/>
      </w:pPr>
      <w:r>
        <w:t xml:space="preserve">Full app-wide redesign</w:t>
      </w:r>
    </w:p>
    <w:p>
      <w:pPr>
        <w:pStyle w:val="Heading3"/>
        <w:spacing w:line="240"/>
        <w:jc w:val="left"/>
      </w:pPr>
      <w:r>
        <w:t xml:space="preserve">Open Questions</w:t>
      </w:r>
    </w:p>
    <w:p>
      <w:pPr>
        <w:pStyle w:val="ListParagraph"/>
        <w:numPr>
          <w:ilvl w:val="0"/>
          <w:numId w:val="1"/>
        </w:numPr>
        <w:spacing w:line="240"/>
        <w:jc w:val="left"/>
      </w:pPr>
      <w:r>
        <w:t xml:space="preserve">Should COD be visible already on the product page, or only on the cart?</w:t>
      </w:r>
    </w:p>
    <w:p>
      <w:pPr>
        <w:pStyle w:val="ListParagraph"/>
        <w:numPr>
          <w:ilvl w:val="0"/>
          <w:numId w:val="1"/>
        </w:numPr>
        <w:spacing w:line="240"/>
        <w:jc w:val="left"/>
      </w:pPr>
      <w:r>
        <w:t xml:space="preserve">What is the ideal threshold of payment retries before alternate options surface? Immediate after 1 fail, or allow 2+ tries?</w:t>
      </w:r>
    </w:p>
    <w:p>
      <w:pPr>
        <w:pStyle w:val="ListParagraph"/>
        <w:numPr>
          <w:ilvl w:val="0"/>
          <w:numId w:val="1"/>
        </w:numPr>
        <w:spacing w:line="240"/>
        <w:jc w:val="left"/>
      </w:pPr>
      <w:r>
        <w:t xml:space="preserve">Should estimated fees adjust dynamically with cart changes (e.g., add/remove item adjustments on cart page)?</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Key Features: Plan of Record</w:t>
      </w:r>
    </w:p>
    <w:p>
      <w:pPr>
        <w:pStyle w:val="ListParagraph"/>
        <w:numPr>
          <w:ilvl w:val="0"/>
          <w:numId w:val="1"/>
        </w:numPr>
        <w:spacing w:line="240"/>
        <w:jc w:val="left"/>
      </w:pPr>
      <w:r>
        <w:rPr>
          <w:b/>
          <w:bCs/>
        </w:rPr>
        <w:t xml:space="preserve">Feature:</w:t>
      </w:r>
      <w:r>
        <w:t xml:space="preserve"> Granular funnel instrumentation</w:t>
      </w:r>
      <w:r>
        <w:br/>
        <w:t xml:space="preserve"/>
      </w:r>
      <w:r>
        <w:rPr>
          <w:b/>
          <w:bCs/>
        </w:rPr>
        <w:t xml:space="preserve">Priority:</w:t>
      </w:r>
      <w:r>
        <w:t xml:space="preserve"> P0</w:t>
      </w:r>
      <w:r>
        <w:br/>
        <w:t xml:space="preserve"/>
      </w:r>
      <w:r>
        <w:rPr>
          <w:b/>
          <w:bCs/>
        </w:rPr>
        <w:t xml:space="preserve">Description:</w:t>
      </w:r>
      <w:r>
        <w:t xml:space="preserve"> Enables per-step tracking of abandonment, bottlenecks, and hypothesis testing</w:t>
      </w:r>
      <w:r>
        <w:br/>
        <w:t xml:space="preserve"/>
      </w:r>
      <w:r>
        <w:rPr>
          <w:b/>
          <w:bCs/>
        </w:rPr>
        <w:t xml:space="preserve">Size estimate:</w:t>
      </w:r>
      <w:r>
        <w:t xml:space="preserve"> Small</w:t>
      </w:r>
    </w:p>
    <w:p>
      <w:pPr>
        <w:pStyle w:val="ListParagraph"/>
        <w:numPr>
          <w:ilvl w:val="0"/>
          <w:numId w:val="1"/>
        </w:numPr>
        <w:spacing w:line="240"/>
        <w:jc w:val="left"/>
      </w:pPr>
      <w:r>
        <w:rPr>
          <w:b/>
          <w:bCs/>
        </w:rPr>
        <w:t xml:space="preserve">Feature:</w:t>
      </w:r>
      <w:r>
        <w:t xml:space="preserve"> Fee transparency</w:t>
      </w:r>
      <w:r>
        <w:br/>
        <w:t xml:space="preserve"/>
      </w:r>
      <w:r>
        <w:rPr>
          <w:b/>
          <w:bCs/>
        </w:rPr>
        <w:t xml:space="preserve">Priority:</w:t>
      </w:r>
      <w:r>
        <w:t xml:space="preserve"> P0</w:t>
      </w:r>
      <w:r>
        <w:br/>
        <w:t xml:space="preserve"/>
      </w:r>
      <w:r>
        <w:rPr>
          <w:b/>
          <w:bCs/>
        </w:rPr>
        <w:t xml:space="preserve">Description:</w:t>
      </w:r>
      <w:r>
        <w:t xml:space="preserve"> Show shipping and estimated taxes on product and cart pages based on pincode</w:t>
      </w:r>
      <w:r>
        <w:br/>
        <w:t xml:space="preserve"/>
      </w:r>
      <w:r>
        <w:rPr>
          <w:b/>
          <w:bCs/>
        </w:rPr>
        <w:t xml:space="preserve">Size estimate:</w:t>
      </w:r>
      <w:r>
        <w:t xml:space="preserve"> Medium</w:t>
      </w:r>
    </w:p>
    <w:p>
      <w:pPr>
        <w:pStyle w:val="ListParagraph"/>
        <w:numPr>
          <w:ilvl w:val="0"/>
          <w:numId w:val="1"/>
        </w:numPr>
        <w:spacing w:line="240"/>
        <w:jc w:val="left"/>
      </w:pPr>
      <w:r>
        <w:rPr>
          <w:b/>
          <w:bCs/>
        </w:rPr>
        <w:t xml:space="preserve">Feature:</w:t>
      </w:r>
      <w:r>
        <w:t xml:space="preserve"> COD visibility at cart</w:t>
      </w:r>
      <w:r>
        <w:br/>
        <w:t xml:space="preserve"/>
      </w:r>
      <w:r>
        <w:rPr>
          <w:b/>
          <w:bCs/>
        </w:rPr>
        <w:t xml:space="preserve">Priority:</w:t>
      </w:r>
      <w:r>
        <w:t xml:space="preserve"> P0</w:t>
      </w:r>
      <w:r>
        <w:br/>
        <w:t xml:space="preserve"/>
      </w:r>
      <w:r>
        <w:rPr>
          <w:b/>
          <w:bCs/>
        </w:rPr>
        <w:t xml:space="preserve">Description:</w:t>
      </w:r>
      <w:r>
        <w:t xml:space="preserve"> Show a “Cash on Delivery available for your pincode” badge with lookup on cart page</w:t>
      </w:r>
      <w:r>
        <w:br/>
        <w:t xml:space="preserve"/>
      </w:r>
      <w:r>
        <w:rPr>
          <w:b/>
          <w:bCs/>
        </w:rPr>
        <w:t xml:space="preserve">Size estimate:</w:t>
      </w:r>
      <w:r>
        <w:t xml:space="preserve"> Medium</w:t>
      </w:r>
    </w:p>
    <w:p>
      <w:pPr>
        <w:pStyle w:val="ListParagraph"/>
        <w:numPr>
          <w:ilvl w:val="0"/>
          <w:numId w:val="1"/>
        </w:numPr>
        <w:spacing w:line="240"/>
        <w:jc w:val="left"/>
      </w:pPr>
      <w:r>
        <w:rPr>
          <w:b/>
          <w:bCs/>
        </w:rPr>
        <w:t xml:space="preserve">Feature:</w:t>
      </w:r>
      <w:r>
        <w:t xml:space="preserve"> Payment failure recovery flow</w:t>
      </w:r>
      <w:r>
        <w:br/>
        <w:t xml:space="preserve"/>
      </w:r>
      <w:r>
        <w:rPr>
          <w:b/>
          <w:bCs/>
        </w:rPr>
        <w:t xml:space="preserve">Priority:</w:t>
      </w:r>
      <w:r>
        <w:t xml:space="preserve"> P1</w:t>
      </w:r>
      <w:r>
        <w:br/>
        <w:t xml:space="preserve"/>
      </w:r>
      <w:r>
        <w:rPr>
          <w:b/>
          <w:bCs/>
        </w:rPr>
        <w:t xml:space="preserve">Description:</w:t>
      </w:r>
      <w:r>
        <w:t xml:space="preserve"> Real-time detection of UPI/card failure and CTA to alternate payment or COD</w:t>
      </w:r>
      <w:r>
        <w:br/>
        <w:t xml:space="preserve"/>
      </w:r>
      <w:r>
        <w:rPr>
          <w:b/>
          <w:bCs/>
        </w:rPr>
        <w:t xml:space="preserve">Size estimate:</w:t>
      </w:r>
      <w:r>
        <w:t xml:space="preserve"> Medium</w:t>
      </w:r>
    </w:p>
    <w:p>
      <w:pPr>
        <w:pStyle w:val="ListParagraph"/>
        <w:numPr>
          <w:ilvl w:val="0"/>
          <w:numId w:val="1"/>
        </w:numPr>
        <w:spacing w:line="240"/>
        <w:jc w:val="left"/>
      </w:pPr>
      <w:r>
        <w:rPr>
          <w:b/>
          <w:bCs/>
        </w:rPr>
        <w:t xml:space="preserve">Feature:</w:t>
      </w:r>
      <w:r>
        <w:t xml:space="preserve"> Checkout page load optimization</w:t>
      </w:r>
      <w:r>
        <w:br/>
        <w:t xml:space="preserve"/>
      </w:r>
      <w:r>
        <w:rPr>
          <w:b/>
          <w:bCs/>
        </w:rPr>
        <w:t xml:space="preserve">Priority:</w:t>
      </w:r>
      <w:r>
        <w:t xml:space="preserve"> P1</w:t>
      </w:r>
      <w:r>
        <w:br/>
        <w:t xml:space="preserve"/>
      </w:r>
      <w:r>
        <w:rPr>
          <w:b/>
          <w:bCs/>
        </w:rPr>
        <w:t xml:space="preserve">Description:</w:t>
      </w:r>
      <w:r>
        <w:t xml:space="preserve"> Achieve first contentful paint &lt;2s; lazy load non-critical elements</w:t>
      </w:r>
      <w:r>
        <w:br/>
        <w:t xml:space="preserve"/>
      </w:r>
      <w:r>
        <w:rPr>
          <w:b/>
          <w:bCs/>
        </w:rPr>
        <w:t xml:space="preserve">Size estimate:</w:t>
      </w:r>
      <w:r>
        <w:t xml:space="preserve"> Medium</w:t>
      </w:r>
    </w:p>
    <w:p>
      <w:pPr>
        <w:pStyle w:val="ListParagraph"/>
        <w:numPr>
          <w:ilvl w:val="0"/>
          <w:numId w:val="1"/>
        </w:numPr>
        <w:spacing w:line="240"/>
        <w:jc w:val="left"/>
      </w:pPr>
      <w:r>
        <w:rPr>
          <w:b/>
          <w:bCs/>
        </w:rPr>
        <w:t xml:space="preserve">Feature:</w:t>
      </w:r>
      <w:r>
        <w:t xml:space="preserve"> Trust badges/security signals</w:t>
      </w:r>
      <w:r>
        <w:br/>
        <w:t xml:space="preserve"/>
      </w:r>
      <w:r>
        <w:rPr>
          <w:b/>
          <w:bCs/>
        </w:rPr>
        <w:t xml:space="preserve">Priority:</w:t>
      </w:r>
      <w:r>
        <w:t xml:space="preserve"> P2</w:t>
      </w:r>
      <w:r>
        <w:br/>
        <w:t xml:space="preserve"/>
      </w:r>
      <w:r>
        <w:rPr>
          <w:b/>
          <w:bCs/>
        </w:rPr>
        <w:t xml:space="preserve">Description:</w:t>
      </w:r>
      <w:r>
        <w:t xml:space="preserve"> Visual indicators to reinforce trust at payment step</w:t>
      </w:r>
      <w:r>
        <w:br/>
        <w:t xml:space="preserve"/>
      </w:r>
      <w:r>
        <w:rPr>
          <w:b/>
          <w:bCs/>
        </w:rPr>
        <w:t xml:space="preserve">Size estimate:</w:t>
      </w:r>
      <w:r>
        <w:t xml:space="preserve"> Small</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Future Considerations</w:t>
      </w:r>
    </w:p>
    <w:p>
      <w:pPr>
        <w:pStyle w:val="Heading3"/>
        <w:spacing w:line="240"/>
        <w:jc w:val="left"/>
      </w:pPr>
      <w:r>
        <w:t xml:space="preserve">Planned Follow-ups</w:t>
      </w:r>
    </w:p>
    <w:p>
      <w:pPr>
        <w:pStyle w:val="ListParagraph"/>
        <w:numPr>
          <w:ilvl w:val="0"/>
          <w:numId w:val="1"/>
        </w:numPr>
        <w:spacing w:line="240"/>
        <w:jc w:val="left"/>
      </w:pPr>
      <w:r>
        <w:rPr>
          <w:b/>
          <w:bCs/>
        </w:rPr>
        <w:t xml:space="preserve">Feature:</w:t>
      </w:r>
      <w:r>
        <w:t xml:space="preserve"> Saved-cart recovery nudges (push/email) — Planned for Phase 3</w:t>
      </w:r>
    </w:p>
    <w:p>
      <w:pPr>
        <w:pStyle w:val="ListParagraph"/>
        <w:numPr>
          <w:ilvl w:val="0"/>
          <w:numId w:val="1"/>
        </w:numPr>
        <w:spacing w:line="240"/>
        <w:jc w:val="left"/>
      </w:pPr>
      <w:r>
        <w:rPr>
          <w:b/>
          <w:bCs/>
        </w:rPr>
        <w:t xml:space="preserve">Feature:</w:t>
      </w:r>
      <w:r>
        <w:t xml:space="preserve"> One-click checkout for returning users — Q4</w:t>
      </w:r>
    </w:p>
    <w:p>
      <w:pPr>
        <w:pStyle w:val="ListParagraph"/>
        <w:numPr>
          <w:ilvl w:val="0"/>
          <w:numId w:val="1"/>
        </w:numPr>
        <w:spacing w:line="240"/>
        <w:jc w:val="left"/>
      </w:pPr>
      <w:r>
        <w:rPr>
          <w:b/>
          <w:bCs/>
        </w:rPr>
        <w:t xml:space="preserve">Feature:</w:t>
      </w:r>
      <w:r>
        <w:t xml:space="preserve"> EMI visibility earlier in funnel — Q4</w:t>
      </w:r>
    </w:p>
    <w:p>
      <w:pPr>
        <w:pStyle w:val="ListParagraph"/>
        <w:numPr>
          <w:ilvl w:val="0"/>
          <w:numId w:val="1"/>
        </w:numPr>
        <w:spacing w:line="240"/>
        <w:jc w:val="left"/>
      </w:pPr>
      <w:r>
        <w:rPr>
          <w:b/>
          <w:bCs/>
        </w:rPr>
        <w:t xml:space="preserve">Feature:</w:t>
      </w:r>
      <w:r>
        <w:t xml:space="preserve"> Multi-language checkout — Q4</w:t>
      </w:r>
    </w:p>
    <w:p>
      <w:pPr>
        <w:pStyle w:val="Heading3"/>
        <w:spacing w:line="240"/>
        <w:jc w:val="left"/>
      </w:pPr>
      <w:r>
        <w:t xml:space="preserve">Build-Now Implications</w:t>
      </w:r>
    </w:p>
    <w:p>
      <w:pPr>
        <w:pStyle w:val="ListParagraph"/>
        <w:numPr>
          <w:ilvl w:val="0"/>
          <w:numId w:val="1"/>
        </w:numPr>
        <w:spacing w:line="240"/>
        <w:jc w:val="left"/>
      </w:pPr>
      <w:r>
        <w:t xml:space="preserve">Ensure all fee and payment calculations are dynamic, to allow stacking of EMI, offers, or alternate payment modes in the future.</w:t>
      </w:r>
    </w:p>
    <w:p>
      <w:pPr>
        <w:pStyle w:val="ListParagraph"/>
        <w:numPr>
          <w:ilvl w:val="0"/>
          <w:numId w:val="1"/>
        </w:numPr>
        <w:spacing w:line="240"/>
        <w:jc w:val="left"/>
      </w:pPr>
      <w:r>
        <w:t xml:space="preserve">Do not hard-code any copy; eventual language support needed.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Key Flows</w:t>
      </w:r>
    </w:p>
    <w:p>
      <w:pPr>
        <w:pStyle w:val="Heading2"/>
        <w:spacing w:line="240"/>
        <w:jc w:val="left"/>
      </w:pPr>
      <w:r>
        <w:t xml:space="preserve">Key Flows</w:t>
      </w:r>
    </w:p>
    <w:p>
      <w:pPr>
        <w:spacing w:line="240"/>
        <w:jc w:val="left"/>
      </w:pPr>
      <w:r>
        <w:t xml:space="preserve">Flow: Fee Transparency</w:t>
      </w:r>
    </w:p>
    <w:p>
      <w:pPr>
        <w:pStyle w:val="ListParagraph"/>
        <w:numPr>
          <w:ilvl w:val="0"/>
          <w:numId w:val="3"/>
        </w:numPr>
        <w:spacing w:line="240"/>
        <w:jc w:val="left"/>
      </w:pPr>
      <w:r>
        <w:rPr>
          <w:b/>
          <w:bCs/>
        </w:rPr>
        <w:t xml:space="preserve">Screen:</w:t>
      </w:r>
      <w:r>
        <w:t xml:space="preserve"> Product Detail Page (PDP)</w:t>
      </w:r>
    </w:p>
    <w:p>
      <w:pPr>
        <w:pStyle w:val="ListParagraph"/>
        <w:numPr>
          <w:ilvl w:val="0"/>
          <w:numId w:val="3"/>
        </w:numPr>
        <w:spacing w:line="240"/>
        <w:jc w:val="left"/>
      </w:pPr>
      <w:r>
        <w:rPr>
          <w:b/>
          <w:bCs/>
        </w:rPr>
        <w:t xml:space="preserve">User sees:</w:t>
      </w:r>
      <w:r>
        <w:t xml:space="preserve"> Product price + inline shipping estimate ("Delivery: ₹49 to 560001") and estimated tax ("+₹28 GST") below the price. If no pincode is detected, a prompt appears: "Enter pincode to see delivery charges."</w:t>
      </w:r>
    </w:p>
    <w:p>
      <w:pPr>
        <w:pStyle w:val="ListParagraph"/>
        <w:numPr>
          <w:ilvl w:val="0"/>
          <w:numId w:val="3"/>
        </w:numPr>
        <w:spacing w:line="240"/>
        <w:jc w:val="left"/>
      </w:pPr>
      <w:r>
        <w:rPr>
          <w:b/>
          <w:bCs/>
        </w:rPr>
        <w:t xml:space="preserve">User does:</w:t>
      </w:r>
      <w:r>
        <w:t xml:space="preserve"> Enters pincode if missing, then clicks "Add to Cart."</w:t>
      </w:r>
    </w:p>
    <w:p>
      <w:pPr>
        <w:pStyle w:val="ListParagraph"/>
        <w:numPr>
          <w:ilvl w:val="0"/>
          <w:numId w:val="3"/>
        </w:numPr>
        <w:spacing w:line="240"/>
        <w:jc w:val="left"/>
      </w:pPr>
      <w:r>
        <w:rPr>
          <w:b/>
          <w:bCs/>
        </w:rPr>
        <w:t xml:space="preserve">Result:</w:t>
      </w:r>
      <w:r>
        <w:t xml:space="preserve"> Fee estimate is stored in session. Product added to cart.</w:t>
      </w:r>
    </w:p>
    <w:p>
      <w:pPr>
        <w:pStyle w:val="ListParagraph"/>
        <w:numPr>
          <w:ilvl w:val="0"/>
          <w:numId w:val="3"/>
        </w:numPr>
        <w:spacing w:line="240"/>
        <w:jc w:val="left"/>
      </w:pPr>
      <w:r>
        <w:rPr>
          <w:b/>
          <w:bCs/>
        </w:rPr>
        <w:t xml:space="preserve">Screen:</w:t>
      </w:r>
      <w:r>
        <w:t xml:space="preserve"> Cart Page</w:t>
      </w:r>
    </w:p>
    <w:p>
      <w:pPr>
        <w:pStyle w:val="ListParagraph"/>
        <w:numPr>
          <w:ilvl w:val="0"/>
          <w:numId w:val="3"/>
        </w:numPr>
        <w:spacing w:line="240"/>
        <w:jc w:val="left"/>
      </w:pPr>
      <w:r>
        <w:rPr>
          <w:b/>
          <w:bCs/>
        </w:rPr>
        <w:t xml:space="preserve">User sees:</w:t>
      </w:r>
      <w:r>
        <w:t xml:space="preserve"> Itemized breakdown — product subtotal, per-item shipping, tax, and order total. A "How is this calculated?" tooltip is available.</w:t>
      </w:r>
    </w:p>
    <w:p>
      <w:pPr>
        <w:pStyle w:val="ListParagraph"/>
        <w:numPr>
          <w:ilvl w:val="0"/>
          <w:numId w:val="3"/>
        </w:numPr>
        <w:spacing w:line="240"/>
        <w:jc w:val="left"/>
      </w:pPr>
      <w:r>
        <w:rPr>
          <w:b/>
          <w:bCs/>
        </w:rPr>
        <w:t xml:space="preserve">User does:</w:t>
      </w:r>
      <w:r>
        <w:t xml:space="preserve"> Reviews total, proceeds to checkout.</w:t>
      </w:r>
    </w:p>
    <w:p>
      <w:pPr>
        <w:pStyle w:val="ListParagraph"/>
        <w:numPr>
          <w:ilvl w:val="0"/>
          <w:numId w:val="3"/>
        </w:numPr>
        <w:spacing w:line="240"/>
        <w:jc w:val="left"/>
      </w:pPr>
      <w:r>
        <w:rPr>
          <w:b/>
          <w:bCs/>
        </w:rPr>
        <w:t xml:space="preserve">Result:</w:t>
      </w:r>
      <w:r>
        <w:t xml:space="preserve"> No new fee information introduced at payment — total matches exactly.</w:t>
      </w:r>
    </w:p>
    <w:p>
      <w:pPr>
        <w:pStyle w:val="ListParagraph"/>
        <w:numPr>
          <w:ilvl w:val="0"/>
          <w:numId w:val="3"/>
        </w:numPr>
        <w:spacing w:line="240"/>
        <w:jc w:val="left"/>
      </w:pPr>
      <w:r>
        <w:rPr>
          <w:b/>
          <w:bCs/>
        </w:rPr>
        <w:t xml:space="preserve">Screen:</w:t>
      </w:r>
      <w:r>
        <w:t xml:space="preserve"> Checkout / Payment</w:t>
      </w:r>
    </w:p>
    <w:p>
      <w:pPr>
        <w:pStyle w:val="ListParagraph"/>
        <w:numPr>
          <w:ilvl w:val="0"/>
          <w:numId w:val="3"/>
        </w:numPr>
        <w:spacing w:line="240"/>
        <w:jc w:val="left"/>
      </w:pPr>
      <w:r>
        <w:rPr>
          <w:b/>
          <w:bCs/>
        </w:rPr>
        <w:t xml:space="preserve">User sees:</w:t>
      </w:r>
      <w:r>
        <w:t xml:space="preserve"> Identical total as cart page. No new line items.</w:t>
      </w:r>
    </w:p>
    <w:p>
      <w:pPr>
        <w:pStyle w:val="ListParagraph"/>
        <w:numPr>
          <w:ilvl w:val="0"/>
          <w:numId w:val="3"/>
        </w:numPr>
        <w:spacing w:line="240"/>
        <w:jc w:val="left"/>
      </w:pPr>
      <w:r>
        <w:rPr>
          <w:b/>
          <w:bCs/>
        </w:rPr>
        <w:t xml:space="preserve">User does:</w:t>
      </w:r>
      <w:r>
        <w:t xml:space="preserve"> Selects payment method and completes purchase.</w:t>
      </w:r>
    </w:p>
    <w:p>
      <w:pPr>
        <w:spacing w:line="240"/>
        <w:jc w:val="left"/>
      </w:pPr>
      <w:r>
        <w:rPr>
          <w:b/>
          <w:bCs/>
        </w:rPr>
        <w:t xml:space="preserve">Edge cases — Fee Transparency Flow:</w:t>
      </w:r>
    </w:p>
    <w:p>
      <w:pPr>
        <w:pStyle w:val="ListParagraph"/>
        <w:numPr>
          <w:ilvl w:val="0"/>
          <w:numId w:val="1"/>
        </w:numPr>
        <w:spacing w:line="240"/>
        <w:jc w:val="left"/>
      </w:pPr>
      <w:r>
        <w:rPr>
          <w:i/>
          <w:iCs/>
        </w:rPr>
        <w:t xml:space="preserve">User adds or removes items after fee estimate is shown:</w:t>
      </w:r>
      <w:r>
        <w:t xml:space="preserve"> Fee recalculates in real-time on the cart page. A subtle "Delivery charges updated" toast appears.</w:t>
      </w:r>
    </w:p>
    <w:p>
      <w:pPr>
        <w:pStyle w:val="ListParagraph"/>
        <w:numPr>
          <w:ilvl w:val="0"/>
          <w:numId w:val="1"/>
        </w:numPr>
        <w:spacing w:line="240"/>
        <w:jc w:val="left"/>
      </w:pPr>
      <w:r>
        <w:rPr>
          <w:i/>
          <w:iCs/>
        </w:rPr>
        <w:t xml:space="preserve">User changes delivery pincode after estimate is shown:</w:t>
      </w:r>
      <w:r>
        <w:t xml:space="preserve"> Full fee re-fetch triggers. If new pincode has higher shipping, a banner reads "Delivery charges updated for new address." If lower or free, a positive confirmation appears.</w:t>
      </w:r>
    </w:p>
    <w:p>
      <w:pPr>
        <w:pStyle w:val="ListParagraph"/>
        <w:numPr>
          <w:ilvl w:val="0"/>
          <w:numId w:val="1"/>
        </w:numPr>
        <w:spacing w:line="240"/>
        <w:jc w:val="left"/>
      </w:pPr>
      <w:r>
        <w:rPr>
          <w:i/>
          <w:iCs/>
        </w:rPr>
        <w:t xml:space="preserve">Pincode API is down:</w:t>
      </w:r>
      <w:r>
        <w:t xml:space="preserve"> Inline estimate is replaced with "Shipping cost will be confirmed at checkout" in muted text. No hard error shown. Checkout is not blocked.</w:t>
      </w:r>
    </w:p>
    <w:p>
      <w:pPr>
        <w:pStyle w:val="ListParagraph"/>
        <w:numPr>
          <w:ilvl w:val="0"/>
          <w:numId w:val="1"/>
        </w:numPr>
        <w:spacing w:line="240"/>
        <w:jc w:val="left"/>
      </w:pPr>
      <w:r>
        <w:rPr>
          <w:i/>
          <w:iCs/>
        </w:rPr>
        <w:t xml:space="preserve">Item in cart is not eligible for delivery to pincode:</w:t>
      </w:r>
      <w:r>
        <w:t xml:space="preserve"> A clear inline warning on the cart page reads "This item cannot be delivered to [pincode]. Remove it or change your delivery address to proceed."</w:t>
      </w:r>
    </w:p>
    <w:p>
      <w:pPr>
        <w:spacing w:line="240"/>
        <w:jc w:val="left"/>
      </w:pPr>
      <w:r>
        <w:t xml:space="preserve">Flow: COD Discovery</w:t>
      </w:r>
    </w:p>
    <w:p>
      <w:pPr>
        <w:pStyle w:val="ListParagraph"/>
        <w:numPr>
          <w:ilvl w:val="0"/>
          <w:numId w:val="4"/>
        </w:numPr>
        <w:spacing w:line="240"/>
        <w:jc w:val="left"/>
      </w:pPr>
      <w:r>
        <w:rPr>
          <w:b/>
          <w:bCs/>
        </w:rPr>
        <w:t xml:space="preserve">Screen:</w:t>
      </w:r>
      <w:r>
        <w:t xml:space="preserve"> Cart Page</w:t>
      </w:r>
    </w:p>
    <w:p>
      <w:pPr>
        <w:pStyle w:val="ListParagraph"/>
        <w:numPr>
          <w:ilvl w:val="0"/>
          <w:numId w:val="4"/>
        </w:numPr>
        <w:spacing w:line="240"/>
        <w:jc w:val="left"/>
      </w:pPr>
      <w:r>
        <w:rPr>
          <w:b/>
          <w:bCs/>
        </w:rPr>
        <w:t xml:space="preserve">User sees:</w:t>
      </w:r>
      <w:r>
        <w:t xml:space="preserve"> A green badge below the delivery address field: "✓ Cash on Delivery available for [pincode]." If COD is not available, the badge is absent — no negative messaging shown.</w:t>
      </w:r>
    </w:p>
    <w:p>
      <w:pPr>
        <w:pStyle w:val="ListParagraph"/>
        <w:numPr>
          <w:ilvl w:val="0"/>
          <w:numId w:val="4"/>
        </w:numPr>
        <w:spacing w:line="240"/>
        <w:jc w:val="left"/>
      </w:pPr>
      <w:r>
        <w:rPr>
          <w:b/>
          <w:bCs/>
        </w:rPr>
        <w:t xml:space="preserve">User does:</w:t>
      </w:r>
      <w:r>
        <w:t xml:space="preserve"> Confirms delivery address and proceeds to checkout.</w:t>
      </w:r>
    </w:p>
    <w:p>
      <w:pPr>
        <w:pStyle w:val="ListParagraph"/>
        <w:numPr>
          <w:ilvl w:val="0"/>
          <w:numId w:val="4"/>
        </w:numPr>
        <w:spacing w:line="240"/>
        <w:jc w:val="left"/>
      </w:pPr>
      <w:r>
        <w:rPr>
          <w:b/>
          <w:bCs/>
        </w:rPr>
        <w:t xml:space="preserve">Result:</w:t>
      </w:r>
      <w:r>
        <w:t xml:space="preserve"> User arrives at payment already knowing COD is an option.</w:t>
      </w:r>
    </w:p>
    <w:p>
      <w:pPr>
        <w:pStyle w:val="ListParagraph"/>
        <w:numPr>
          <w:ilvl w:val="0"/>
          <w:numId w:val="4"/>
        </w:numPr>
        <w:spacing w:line="240"/>
        <w:jc w:val="left"/>
      </w:pPr>
      <w:r>
        <w:rPr>
          <w:b/>
          <w:bCs/>
        </w:rPr>
        <w:t xml:space="preserve">Screen:</w:t>
      </w:r>
      <w:r>
        <w:t xml:space="preserve"> Payment Method Selection</w:t>
      </w:r>
    </w:p>
    <w:p>
      <w:pPr>
        <w:pStyle w:val="ListParagraph"/>
        <w:numPr>
          <w:ilvl w:val="0"/>
          <w:numId w:val="4"/>
        </w:numPr>
        <w:spacing w:line="240"/>
        <w:jc w:val="left"/>
      </w:pPr>
      <w:r>
        <w:rPr>
          <w:b/>
          <w:bCs/>
        </w:rPr>
        <w:t xml:space="preserve">User sees:</w:t>
      </w:r>
      <w:r>
        <w:t xml:space="preserve"> COD listed as the first payment option (above UPI and card) for COD-eligible users, with a note: "Pay ₹[total] in cash at delivery. No advance needed."</w:t>
      </w:r>
    </w:p>
    <w:p>
      <w:pPr>
        <w:pStyle w:val="ListParagraph"/>
        <w:numPr>
          <w:ilvl w:val="0"/>
          <w:numId w:val="4"/>
        </w:numPr>
        <w:spacing w:line="240"/>
        <w:jc w:val="left"/>
      </w:pPr>
      <w:r>
        <w:rPr>
          <w:b/>
          <w:bCs/>
        </w:rPr>
        <w:t xml:space="preserve">User does:</w:t>
      </w:r>
      <w:r>
        <w:t xml:space="preserve"> Selects COD and confirms order.</w:t>
      </w:r>
    </w:p>
    <w:p>
      <w:pPr>
        <w:pStyle w:val="ListParagraph"/>
        <w:numPr>
          <w:ilvl w:val="0"/>
          <w:numId w:val="4"/>
        </w:numPr>
        <w:spacing w:line="240"/>
        <w:jc w:val="left"/>
      </w:pPr>
      <w:r>
        <w:rPr>
          <w:b/>
          <w:bCs/>
        </w:rPr>
        <w:t xml:space="preserve">Result:</w:t>
      </w:r>
      <w:r>
        <w:t xml:space="preserve"> Order placed. Confirmation screen shown with delivery timeline and COD reminder.</w:t>
      </w:r>
    </w:p>
    <w:p>
      <w:pPr>
        <w:spacing w:line="240"/>
        <w:jc w:val="left"/>
      </w:pPr>
      <w:r>
        <w:rPr>
          <w:b/>
          <w:bCs/>
        </w:rPr>
        <w:t xml:space="preserve">Edge cases — COD Discovery Flow:</w:t>
      </w:r>
    </w:p>
    <w:p>
      <w:pPr>
        <w:pStyle w:val="ListParagraph"/>
        <w:numPr>
          <w:ilvl w:val="0"/>
          <w:numId w:val="1"/>
        </w:numPr>
        <w:spacing w:line="240"/>
        <w:jc w:val="left"/>
      </w:pPr>
      <w:r>
        <w:rPr>
          <w:i/>
          <w:iCs/>
        </w:rPr>
        <w:t xml:space="preserve">User is not COD-eligible for their pincode:</w:t>
      </w:r>
      <w:r>
        <w:t xml:space="preserve"> COD badge is simply not shown on the cart. COD does not appear as a payment option. No explicit "COD not available" message — avoids friction and confusion.</w:t>
      </w:r>
    </w:p>
    <w:p>
      <w:pPr>
        <w:pStyle w:val="ListParagraph"/>
        <w:numPr>
          <w:ilvl w:val="0"/>
          <w:numId w:val="1"/>
        </w:numPr>
        <w:spacing w:line="240"/>
        <w:jc w:val="left"/>
      </w:pPr>
      <w:r>
        <w:rPr>
          <w:i/>
          <w:iCs/>
        </w:rPr>
        <w:t xml:space="preserve">User changes pincode to a COD-ineligible area after seeing the badge:</w:t>
      </w:r>
      <w:r>
        <w:t xml:space="preserve"> Badge disappears with a subtle update. If user had selected COD on the payment screen and then changes address, COD option is removed and user is prompted to select an alternate method with a contextual message: "COD is not available for your new address. Please choose another payment method."</w:t>
      </w:r>
    </w:p>
    <w:p>
      <w:pPr>
        <w:pStyle w:val="ListParagraph"/>
        <w:numPr>
          <w:ilvl w:val="0"/>
          <w:numId w:val="1"/>
        </w:numPr>
        <w:spacing w:line="240"/>
        <w:jc w:val="left"/>
      </w:pPr>
      <w:r>
        <w:rPr>
          <w:i/>
          <w:iCs/>
        </w:rPr>
        <w:t xml:space="preserve">Pincode API timeout during COD check:</w:t>
      </w:r>
      <w:r>
        <w:t xml:space="preserve"> COD badge is not shown (fail-safe — never falsely promise COD). A retry is triggered silently in the background. If resolved before the user reaches payment, COD appears there.</w:t>
      </w:r>
    </w:p>
    <w:p>
      <w:pPr>
        <w:pStyle w:val="ListParagraph"/>
        <w:numPr>
          <w:ilvl w:val="0"/>
          <w:numId w:val="1"/>
        </w:numPr>
        <w:spacing w:line="240"/>
        <w:jc w:val="left"/>
      </w:pPr>
      <w:r>
        <w:rPr>
          <w:i/>
          <w:iCs/>
        </w:rPr>
        <w:t xml:space="preserve">Cart contains a mix of COD-eligible and COD-ineligible items:</w:t>
      </w:r>
      <w:r>
        <w:t xml:space="preserve"> COD is not offered. A tooltip on the payment screen explains: "One or more items in your cart are not eligible for COD."</w:t>
      </w:r>
    </w:p>
    <w:p>
      <w:pPr>
        <w:spacing w:line="240"/>
        <w:jc w:val="left"/>
      </w:pPr>
      <w:r>
        <w:t xml:space="preserve">Flow: Payment Failure Recovery</w:t>
      </w:r>
    </w:p>
    <w:p>
      <w:pPr>
        <w:pStyle w:val="ListParagraph"/>
        <w:numPr>
          <w:ilvl w:val="0"/>
          <w:numId w:val="5"/>
        </w:numPr>
        <w:spacing w:line="240"/>
        <w:jc w:val="left"/>
      </w:pPr>
      <w:r>
        <w:rPr>
          <w:b/>
          <w:bCs/>
        </w:rPr>
        <w:t xml:space="preserve">Screen:</w:t>
      </w:r>
      <w:r>
        <w:t xml:space="preserve"> Payment Screen</w:t>
      </w:r>
    </w:p>
    <w:p>
      <w:pPr>
        <w:pStyle w:val="ListParagraph"/>
        <w:numPr>
          <w:ilvl w:val="0"/>
          <w:numId w:val="5"/>
        </w:numPr>
        <w:spacing w:line="240"/>
        <w:jc w:val="left"/>
      </w:pPr>
      <w:r>
        <w:rPr>
          <w:b/>
          <w:bCs/>
        </w:rPr>
        <w:t xml:space="preserve">User sees:</w:t>
      </w:r>
      <w:r>
        <w:t xml:space="preserve"> Payment methods listed: UPI (default, pre-selected), Debit/Credit Card, Net Banking, COD (if eligible). A security badge and "100% secure checkout" label are visible.</w:t>
      </w:r>
    </w:p>
    <w:p>
      <w:pPr>
        <w:pStyle w:val="ListParagraph"/>
        <w:numPr>
          <w:ilvl w:val="0"/>
          <w:numId w:val="5"/>
        </w:numPr>
        <w:spacing w:line="240"/>
        <w:jc w:val="left"/>
      </w:pPr>
      <w:r>
        <w:rPr>
          <w:b/>
          <w:bCs/>
        </w:rPr>
        <w:t xml:space="preserve">User does:</w:t>
      </w:r>
      <w:r>
        <w:t xml:space="preserve"> Enters UPI ID or scans QR and confirms payment.</w:t>
      </w:r>
    </w:p>
    <w:p>
      <w:pPr>
        <w:pStyle w:val="ListParagraph"/>
        <w:numPr>
          <w:ilvl w:val="0"/>
          <w:numId w:val="5"/>
        </w:numPr>
        <w:spacing w:line="240"/>
        <w:jc w:val="left"/>
      </w:pPr>
      <w:r>
        <w:rPr>
          <w:b/>
          <w:bCs/>
        </w:rPr>
        <w:t xml:space="preserve">Result:</w:t>
      </w:r>
      <w:r>
        <w:t xml:space="preserve"> Payment request sent to UPI gateway.</w:t>
      </w:r>
    </w:p>
    <w:p>
      <w:pPr>
        <w:pStyle w:val="ListParagraph"/>
        <w:numPr>
          <w:ilvl w:val="0"/>
          <w:numId w:val="5"/>
        </w:numPr>
        <w:spacing w:line="240"/>
        <w:jc w:val="left"/>
      </w:pPr>
      <w:r>
        <w:rPr>
          <w:b/>
          <w:bCs/>
        </w:rPr>
        <w:t xml:space="preserve">Screen:</w:t>
      </w:r>
      <w:r>
        <w:t xml:space="preserve"> Payment Processing</w:t>
      </w:r>
    </w:p>
    <w:p>
      <w:pPr>
        <w:pStyle w:val="ListParagraph"/>
        <w:numPr>
          <w:ilvl w:val="0"/>
          <w:numId w:val="5"/>
        </w:numPr>
        <w:spacing w:line="240"/>
        <w:jc w:val="left"/>
      </w:pPr>
      <w:r>
        <w:rPr>
          <w:b/>
          <w:bCs/>
        </w:rPr>
        <w:t xml:space="preserve">User sees:</w:t>
      </w:r>
      <w:r>
        <w:t xml:space="preserve"> Loading spinner with message "Processing your payment… do not press back."</w:t>
      </w:r>
    </w:p>
    <w:p>
      <w:pPr>
        <w:pStyle w:val="ListParagraph"/>
        <w:numPr>
          <w:ilvl w:val="0"/>
          <w:numId w:val="5"/>
        </w:numPr>
        <w:spacing w:line="240"/>
        <w:jc w:val="left"/>
      </w:pPr>
      <w:r>
        <w:rPr>
          <w:b/>
          <w:bCs/>
        </w:rPr>
        <w:t xml:space="preserve">Result:</w:t>
      </w:r>
      <w:r>
        <w:t xml:space="preserve"> Gateway responds with success or failure within 30 seconds.</w:t>
      </w:r>
    </w:p>
    <w:p>
      <w:pPr>
        <w:pStyle w:val="ListParagraph"/>
        <w:numPr>
          <w:ilvl w:val="0"/>
          <w:numId w:val="5"/>
        </w:numPr>
        <w:spacing w:line="240"/>
        <w:jc w:val="left"/>
      </w:pPr>
      <w:r>
        <w:rPr>
          <w:b/>
          <w:bCs/>
        </w:rPr>
        <w:t xml:space="preserve">Screen:</w:t>
      </w:r>
      <w:r>
        <w:t xml:space="preserve"> Payment Failure</w:t>
      </w:r>
    </w:p>
    <w:p>
      <w:pPr>
        <w:pStyle w:val="ListParagraph"/>
        <w:numPr>
          <w:ilvl w:val="0"/>
          <w:numId w:val="5"/>
        </w:numPr>
        <w:spacing w:line="240"/>
        <w:jc w:val="left"/>
      </w:pPr>
      <w:r>
        <w:rPr>
          <w:b/>
          <w:bCs/>
        </w:rPr>
        <w:t xml:space="preserve">User sees:</w:t>
      </w:r>
      <w:r>
        <w:t xml:space="preserve"> A non-alarming failure message: "Payment didn't go through. This happens sometimes — your money is safe." Immediately below: three clearly labeled CTAs — "Try UPI again," "Pay by Card," and (if COD-eligible) "Pay Cash on Delivery." A fourth option: "Need help? Contact support."</w:t>
      </w:r>
    </w:p>
    <w:p>
      <w:pPr>
        <w:pStyle w:val="ListParagraph"/>
        <w:numPr>
          <w:ilvl w:val="0"/>
          <w:numId w:val="5"/>
        </w:numPr>
        <w:spacing w:line="240"/>
        <w:jc w:val="left"/>
      </w:pPr>
      <w:r>
        <w:rPr>
          <w:b/>
          <w:bCs/>
        </w:rPr>
        <w:t xml:space="preserve">User does:</w:t>
      </w:r>
      <w:r>
        <w:t xml:space="preserve"> Selects alternate method.</w:t>
      </w:r>
    </w:p>
    <w:p>
      <w:pPr>
        <w:pStyle w:val="ListParagraph"/>
        <w:numPr>
          <w:ilvl w:val="0"/>
          <w:numId w:val="5"/>
        </w:numPr>
        <w:spacing w:line="240"/>
        <w:jc w:val="left"/>
      </w:pPr>
      <w:r>
        <w:rPr>
          <w:b/>
          <w:bCs/>
        </w:rPr>
        <w:t xml:space="preserve">Result:</w:t>
      </w:r>
      <w:r>
        <w:t xml:space="preserve"> User is taken directly to the relevant payment form — no return to the full payment selection screen.</w:t>
      </w:r>
    </w:p>
    <w:p>
      <w:pPr>
        <w:spacing w:line="240"/>
        <w:jc w:val="left"/>
      </w:pPr>
      <w:r>
        <w:rPr>
          <w:b/>
          <w:bCs/>
        </w:rPr>
        <w:t xml:space="preserve">Edge cases — Payment Failure Recovery Flow:</w:t>
      </w:r>
    </w:p>
    <w:p>
      <w:pPr>
        <w:pStyle w:val="ListParagraph"/>
        <w:numPr>
          <w:ilvl w:val="0"/>
          <w:numId w:val="1"/>
        </w:numPr>
        <w:spacing w:line="240"/>
        <w:jc w:val="left"/>
      </w:pPr>
      <w:r>
        <w:rPr>
          <w:i/>
          <w:iCs/>
        </w:rPr>
        <w:t xml:space="preserve">UPI timeout (no response within 30 seconds):</w:t>
      </w:r>
      <w:r>
        <w:t xml:space="preserve"> System treats it as a failure. User is shown the same recovery screen. Backend simultaneously checks if any debit was made — if yes, auto-initiates refund and informs user: "We noticed a deduction. A refund will be processed in 3–5 business days."</w:t>
      </w:r>
    </w:p>
    <w:p>
      <w:pPr>
        <w:pStyle w:val="ListParagraph"/>
        <w:numPr>
          <w:ilvl w:val="0"/>
          <w:numId w:val="1"/>
        </w:numPr>
        <w:spacing w:line="240"/>
        <w:jc w:val="left"/>
      </w:pPr>
      <w:r>
        <w:rPr>
          <w:i/>
          <w:iCs/>
        </w:rPr>
        <w:t xml:space="preserve">User attempts card payment after UPI failure, and card also fails:</w:t>
      </w:r>
      <w:r>
        <w:t xml:space="preserve"> After second consecutive failure, the recovery screen changes tone: "Having trouble? Try COD or contact support." Reduces cognitive load — don't ask user to try a third method without guidance.</w:t>
      </w:r>
    </w:p>
    <w:p>
      <w:pPr>
        <w:pStyle w:val="ListParagraph"/>
        <w:numPr>
          <w:ilvl w:val="0"/>
          <w:numId w:val="1"/>
        </w:numPr>
        <w:spacing w:line="240"/>
        <w:jc w:val="left"/>
      </w:pPr>
      <w:r>
        <w:rPr>
          <w:i/>
          <w:iCs/>
        </w:rPr>
        <w:t xml:space="preserve">User closes the app during payment processing:</w:t>
      </w:r>
      <w:r>
        <w:t xml:space="preserve"> On re-opening, if payment status is unknown, the app shows an order status banner: "We're confirming your payment. Check back in a few minutes." Links to order tracking page. Does not create a duplicate order.</w:t>
      </w:r>
    </w:p>
    <w:p>
      <w:pPr>
        <w:pStyle w:val="ListParagraph"/>
        <w:numPr>
          <w:ilvl w:val="0"/>
          <w:numId w:val="1"/>
        </w:numPr>
        <w:spacing w:line="240"/>
        <w:jc w:val="left"/>
      </w:pPr>
      <w:r>
        <w:rPr>
          <w:i/>
          <w:iCs/>
        </w:rPr>
        <w:t xml:space="preserve">COD is not available and both UPI and card fail:</w:t>
      </w:r>
      <w:r>
        <w:t xml:space="preserve"> Recovery screen shows only "Try UPI again," "Pay by Card (different card)," and "Contact Support." No dead end — support CTA is always visible.</w:t>
      </w:r>
    </w:p>
    <w:p>
      <w:pPr>
        <w:pStyle w:val="ListParagraph"/>
        <w:numPr>
          <w:ilvl w:val="0"/>
          <w:numId w:val="1"/>
        </w:numPr>
        <w:spacing w:line="240"/>
        <w:jc w:val="left"/>
      </w:pPr>
      <w:r>
        <w:rPr>
          <w:i/>
          <w:iCs/>
        </w:rPr>
        <w:t xml:space="preserve">User's UPI app is not installed:</w:t>
      </w:r>
      <w:r>
        <w:t xml:space="preserve"> UPI option is grayed out with tooltip "UPI app not detected on this device." Only card and COD (if eligible) are active.</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Flow: COD Discovery</w:t>
      </w:r>
    </w:p>
    <w:p>
      <w:pPr>
        <w:pStyle w:val="ListParagraph"/>
        <w:numPr>
          <w:ilvl w:val="0"/>
          <w:numId w:val="6"/>
        </w:numPr>
        <w:spacing w:line="240"/>
        <w:jc w:val="left"/>
      </w:pPr>
      <w:r>
        <w:rPr>
          <w:b/>
          <w:bCs/>
        </w:rPr>
        <w:t xml:space="preserve">Screen:</w:t>
      </w:r>
      <w:r>
        <w:t xml:space="preserve"> Cart Page</w:t>
      </w:r>
    </w:p>
    <w:p>
      <w:pPr>
        <w:pStyle w:val="ListParagraph"/>
        <w:numPr>
          <w:ilvl w:val="1"/>
          <w:numId w:val="1"/>
        </w:numPr>
        <w:spacing w:line="240"/>
        <w:jc w:val="left"/>
      </w:pPr>
      <w:r>
        <w:rPr>
          <w:b/>
          <w:bCs/>
        </w:rPr>
        <w:t xml:space="preserve">User sees:</w:t>
      </w:r>
      <w:r>
        <w:t xml:space="preserve"> COD badge (“Cash on Delivery available for 123456”) if eligible for entered pincode</w:t>
      </w:r>
    </w:p>
    <w:p>
      <w:pPr>
        <w:pStyle w:val="ListParagraph"/>
        <w:numPr>
          <w:ilvl w:val="1"/>
          <w:numId w:val="1"/>
        </w:numPr>
        <w:spacing w:line="240"/>
        <w:jc w:val="left"/>
      </w:pPr>
      <w:r>
        <w:rPr>
          <w:b/>
          <w:bCs/>
        </w:rPr>
        <w:t xml:space="preserve">User does:</w:t>
      </w:r>
      <w:r>
        <w:t xml:space="preserve"> Clicks proceed, expecting COD option</w:t>
      </w:r>
    </w:p>
    <w:p>
      <w:pPr>
        <w:pStyle w:val="ListParagraph"/>
        <w:numPr>
          <w:ilvl w:val="1"/>
          <w:numId w:val="1"/>
        </w:numPr>
        <w:spacing w:line="240"/>
        <w:jc w:val="left"/>
      </w:pPr>
      <w:r>
        <w:rPr>
          <w:b/>
          <w:bCs/>
        </w:rPr>
        <w:t xml:space="preserve">Result:</w:t>
      </w:r>
      <w:r>
        <w:t xml:space="preserve"> Proceeds confidently to payment</w:t>
      </w:r>
    </w:p>
    <w:p>
      <w:pPr>
        <w:pStyle w:val="ListParagraph"/>
        <w:numPr>
          <w:ilvl w:val="0"/>
          <w:numId w:val="6"/>
        </w:numPr>
        <w:spacing w:line="240"/>
        <w:jc w:val="left"/>
      </w:pPr>
      <w:r>
        <w:rPr>
          <w:b/>
          <w:bCs/>
        </w:rPr>
        <w:t xml:space="preserve">Screen:</w:t>
      </w:r>
      <w:r>
        <w:t xml:space="preserve"> Payment Method Selection</w:t>
      </w:r>
    </w:p>
    <w:p>
      <w:pPr>
        <w:pStyle w:val="ListParagraph"/>
        <w:numPr>
          <w:ilvl w:val="1"/>
          <w:numId w:val="1"/>
        </w:numPr>
        <w:spacing w:line="240"/>
        <w:jc w:val="left"/>
      </w:pPr>
      <w:r>
        <w:rPr>
          <w:b/>
          <w:bCs/>
        </w:rPr>
        <w:t xml:space="preserve">User sees:</w:t>
      </w:r>
      <w:r>
        <w:t xml:space="preserve"> COD among selectable payment options</w:t>
      </w:r>
    </w:p>
    <w:p>
      <w:pPr>
        <w:spacing w:line="240"/>
        <w:jc w:val="left"/>
      </w:pPr>
      <w:r>
        <w:rPr>
          <w:b/>
          <w:bCs/>
        </w:rPr>
        <w:t xml:space="preserve">Flow: Payment Failure Recovery</w:t>
      </w:r>
    </w:p>
    <w:p>
      <w:pPr>
        <w:pStyle w:val="ListParagraph"/>
        <w:numPr>
          <w:ilvl w:val="0"/>
          <w:numId w:val="7"/>
        </w:numPr>
        <w:spacing w:line="240"/>
        <w:jc w:val="left"/>
      </w:pPr>
      <w:r>
        <w:rPr>
          <w:b/>
          <w:bCs/>
        </w:rPr>
        <w:t xml:space="preserve">Screen:</w:t>
      </w:r>
      <w:r>
        <w:t xml:space="preserve"> Payment Screen</w:t>
      </w:r>
    </w:p>
    <w:p>
      <w:pPr>
        <w:pStyle w:val="ListParagraph"/>
        <w:numPr>
          <w:ilvl w:val="1"/>
          <w:numId w:val="1"/>
        </w:numPr>
        <w:spacing w:line="240"/>
        <w:jc w:val="left"/>
      </w:pPr>
      <w:r>
        <w:rPr>
          <w:b/>
          <w:bCs/>
        </w:rPr>
        <w:t xml:space="preserve">User sees:</w:t>
      </w:r>
      <w:r>
        <w:t xml:space="preserve"> Standard payment methods: UPI, Card, COD (if eligible), others</w:t>
      </w:r>
    </w:p>
    <w:p>
      <w:pPr>
        <w:pStyle w:val="ListParagraph"/>
        <w:numPr>
          <w:ilvl w:val="0"/>
          <w:numId w:val="7"/>
        </w:numPr>
        <w:spacing w:line="240"/>
        <w:jc w:val="left"/>
      </w:pPr>
      <w:r>
        <w:rPr>
          <w:b/>
          <w:bCs/>
        </w:rPr>
        <w:t xml:space="preserve">Screen:</w:t>
      </w:r>
      <w:r>
        <w:t xml:space="preserve"> After Payment Attempt</w:t>
      </w:r>
    </w:p>
    <w:p>
      <w:pPr>
        <w:pStyle w:val="ListParagraph"/>
        <w:numPr>
          <w:ilvl w:val="1"/>
          <w:numId w:val="1"/>
        </w:numPr>
        <w:spacing w:line="240"/>
        <w:jc w:val="left"/>
      </w:pPr>
      <w:r>
        <w:rPr>
          <w:b/>
          <w:bCs/>
        </w:rPr>
        <w:t xml:space="preserve">User does:</w:t>
      </w:r>
      <w:r>
        <w:t xml:space="preserve"> Attempts UPI; transaction fails</w:t>
      </w:r>
    </w:p>
    <w:p>
      <w:pPr>
        <w:pStyle w:val="ListParagraph"/>
        <w:numPr>
          <w:ilvl w:val="1"/>
          <w:numId w:val="1"/>
        </w:numPr>
        <w:spacing w:line="240"/>
        <w:jc w:val="left"/>
      </w:pPr>
      <w:r>
        <w:rPr>
          <w:b/>
          <w:bCs/>
        </w:rPr>
        <w:t xml:space="preserve">Result:</w:t>
      </w:r>
      <w:r>
        <w:t xml:space="preserve"> Immediately, three options shown: retry UPI, select alternate card, or select COD with clear CTA. Support message provided.</w:t>
      </w:r>
    </w:p>
    <w:p>
      <w:pPr>
        <w:pStyle w:val="Heading2"/>
        <w:spacing w:line="240"/>
        <w:jc w:val="left"/>
      </w:pPr>
      <w:r>
        <w:t xml:space="preserve">Key Logic</w:t>
      </w:r>
    </w:p>
    <w:p>
      <w:pPr>
        <w:pStyle w:val="Heading3"/>
        <w:spacing w:line="240"/>
        <w:jc w:val="left"/>
      </w:pPr>
      <w:r>
        <w:t xml:space="preserve">Rules</w:t>
      </w:r>
    </w:p>
    <w:p>
      <w:pPr>
        <w:pStyle w:val="ListParagraph"/>
        <w:numPr>
          <w:ilvl w:val="0"/>
          <w:numId w:val="1"/>
        </w:numPr>
        <w:spacing w:line="240"/>
        <w:jc w:val="left"/>
      </w:pPr>
      <w:r>
        <w:rPr>
          <w:b/>
          <w:bCs/>
        </w:rPr>
        <w:t xml:space="preserve">Fee estimation rule:</w:t>
      </w:r>
      <w:r>
        <w:t xml:space="preserve"> Shipping/tax fees must be calculated for user pincode + item weight, shown at PDP/cart—not deferred to checkout.</w:t>
      </w:r>
    </w:p>
    <w:p>
      <w:pPr>
        <w:pStyle w:val="ListParagraph"/>
        <w:numPr>
          <w:ilvl w:val="1"/>
          <w:numId w:val="1"/>
        </w:numPr>
        <w:spacing w:line="240"/>
        <w:jc w:val="left"/>
      </w:pPr>
      <w:r>
        <w:rPr>
          <w:i/>
          <w:iCs/>
        </w:rPr>
        <w:t xml:space="preserve">Applies when</w:t>
      </w:r>
      <w:r>
        <w:t xml:space="preserve">: PDP loads with a pincode present (geo/IP or user-entered).</w:t>
      </w:r>
    </w:p>
    <w:p>
      <w:pPr>
        <w:pStyle w:val="ListParagraph"/>
        <w:numPr>
          <w:ilvl w:val="1"/>
          <w:numId w:val="1"/>
        </w:numPr>
        <w:spacing w:line="240"/>
        <w:jc w:val="left"/>
      </w:pPr>
      <w:r>
        <w:rPr>
          <w:i/>
          <w:iCs/>
        </w:rPr>
        <w:t xml:space="preserve">Example</w:t>
      </w:r>
      <w:r>
        <w:t xml:space="preserve">: Bengaluru 560001 sees ₹49 shipping; Delhi 110011 sees ₹0.</w:t>
      </w:r>
    </w:p>
    <w:p>
      <w:pPr>
        <w:pStyle w:val="ListParagraph"/>
        <w:numPr>
          <w:ilvl w:val="0"/>
          <w:numId w:val="1"/>
        </w:numPr>
        <w:spacing w:line="240"/>
        <w:jc w:val="left"/>
      </w:pPr>
      <w:r>
        <w:rPr>
          <w:b/>
          <w:bCs/>
        </w:rPr>
        <w:t xml:space="preserve">COD eligibility rule:</w:t>
      </w:r>
      <w:r>
        <w:t xml:space="preserve"> COD availability must be checked by pincode when user lands on cart, not just at payment.</w:t>
      </w:r>
    </w:p>
    <w:p>
      <w:pPr>
        <w:pStyle w:val="ListParagraph"/>
        <w:numPr>
          <w:ilvl w:val="1"/>
          <w:numId w:val="1"/>
        </w:numPr>
        <w:spacing w:line="240"/>
        <w:jc w:val="left"/>
      </w:pPr>
      <w:r>
        <w:rPr>
          <w:i/>
          <w:iCs/>
        </w:rPr>
        <w:t xml:space="preserve">Applies when</w:t>
      </w:r>
      <w:r>
        <w:t xml:space="preserve">: Cart loads full.</w:t>
      </w:r>
    </w:p>
    <w:p>
      <w:pPr>
        <w:pStyle w:val="ListParagraph"/>
        <w:numPr>
          <w:ilvl w:val="1"/>
          <w:numId w:val="1"/>
        </w:numPr>
        <w:spacing w:line="240"/>
        <w:jc w:val="left"/>
      </w:pPr>
      <w:r>
        <w:rPr>
          <w:i/>
          <w:iCs/>
        </w:rPr>
        <w:t xml:space="preserve">Example</w:t>
      </w:r>
      <w:r>
        <w:t xml:space="preserve">: If pincode 560001 is COD-eligible, badge is green; if not, badge is red or omitted.</w:t>
      </w:r>
    </w:p>
    <w:p>
      <w:pPr>
        <w:pStyle w:val="ListParagraph"/>
        <w:numPr>
          <w:ilvl w:val="0"/>
          <w:numId w:val="1"/>
        </w:numPr>
        <w:spacing w:line="240"/>
        <w:jc w:val="left"/>
      </w:pPr>
      <w:r>
        <w:rPr>
          <w:b/>
          <w:bCs/>
        </w:rPr>
        <w:t xml:space="preserve">Payment retry rule:</w:t>
      </w:r>
      <w:r>
        <w:t xml:space="preserve"> After first UPI/card failure, show alternate options immediately (don’t force same-method retry).</w:t>
      </w:r>
    </w:p>
    <w:p>
      <w:pPr>
        <w:pStyle w:val="ListParagraph"/>
        <w:numPr>
          <w:ilvl w:val="1"/>
          <w:numId w:val="1"/>
        </w:numPr>
        <w:spacing w:line="240"/>
        <w:jc w:val="left"/>
      </w:pPr>
      <w:r>
        <w:rPr>
          <w:i/>
          <w:iCs/>
        </w:rPr>
        <w:t xml:space="preserve">Applies when</w:t>
      </w:r>
      <w:r>
        <w:t xml:space="preserve">: Payment error received.</w:t>
      </w:r>
    </w:p>
    <w:p>
      <w:pPr>
        <w:pStyle w:val="ListParagraph"/>
        <w:numPr>
          <w:ilvl w:val="1"/>
          <w:numId w:val="1"/>
        </w:numPr>
        <w:spacing w:line="240"/>
        <w:jc w:val="left"/>
      </w:pPr>
      <w:r>
        <w:rPr>
          <w:i/>
          <w:iCs/>
        </w:rPr>
        <w:t xml:space="preserve">Example</w:t>
      </w:r>
      <w:r>
        <w:t xml:space="preserve">: UPI failure, immediately show UPI retry + alternate methods + COD if available.</w:t>
      </w:r>
    </w:p>
    <w:p>
      <w:pPr>
        <w:pStyle w:val="ListParagraph"/>
        <w:numPr>
          <w:ilvl w:val="0"/>
          <w:numId w:val="1"/>
        </w:numPr>
        <w:spacing w:line="240"/>
        <w:jc w:val="left"/>
      </w:pPr>
      <w:r>
        <w:rPr>
          <w:b/>
          <w:bCs/>
        </w:rPr>
        <w:t xml:space="preserve">Page load rule:</w:t>
      </w:r>
      <w:r>
        <w:t xml:space="preserve"> Must achieve first contentful paint &lt;2s on 4G for payment step.</w:t>
      </w:r>
    </w:p>
    <w:p>
      <w:pPr>
        <w:pStyle w:val="ListParagraph"/>
        <w:numPr>
          <w:ilvl w:val="1"/>
          <w:numId w:val="1"/>
        </w:numPr>
        <w:spacing w:line="240"/>
        <w:jc w:val="left"/>
      </w:pPr>
      <w:r>
        <w:rPr>
          <w:i/>
          <w:iCs/>
        </w:rPr>
        <w:t xml:space="preserve">Applies when</w:t>
      </w:r>
      <w:r>
        <w:t xml:space="preserve">: Navigating from cart to payment.</w:t>
      </w:r>
    </w:p>
    <w:p>
      <w:pPr>
        <w:pStyle w:val="ListParagraph"/>
        <w:numPr>
          <w:ilvl w:val="1"/>
          <w:numId w:val="1"/>
        </w:numPr>
        <w:spacing w:line="240"/>
        <w:jc w:val="left"/>
      </w:pPr>
      <w:r>
        <w:rPr>
          <w:i/>
          <w:iCs/>
        </w:rPr>
        <w:t xml:space="preserve">Example</w:t>
      </w:r>
      <w:r>
        <w:t xml:space="preserve">: On Moto G51 4G, chrome, with JS bundles lazy loaded.</w:t>
      </w:r>
    </w:p>
    <w:p>
      <w:pPr>
        <w:pStyle w:val="Heading3"/>
        <w:spacing w:line="240"/>
        <w:jc w:val="left"/>
      </w:pPr>
      <w:r>
        <w:t xml:space="preserve">Edge Cases</w:t>
      </w:r>
    </w:p>
    <w:p>
      <w:pPr>
        <w:pStyle w:val="ListParagraph"/>
        <w:numPr>
          <w:ilvl w:val="0"/>
          <w:numId w:val="1"/>
        </w:numPr>
        <w:spacing w:line="240"/>
        <w:jc w:val="left"/>
      </w:pPr>
      <w:r>
        <w:rPr>
          <w:b/>
          <w:bCs/>
        </w:rPr>
        <w:t xml:space="preserve">What happens if pincode cannot be resolved (API downtime)?</w:t>
      </w:r>
    </w:p>
    <w:p>
      <w:pPr>
        <w:pStyle w:val="ListParagraph"/>
        <w:numPr>
          <w:ilvl w:val="1"/>
          <w:numId w:val="1"/>
        </w:numPr>
        <w:spacing w:line="240"/>
        <w:jc w:val="left"/>
      </w:pPr>
      <w:r>
        <w:t xml:space="preserve">Show “Fee estimate unavailable. Will be confirmed at checkout” — with retry link.</w:t>
      </w:r>
    </w:p>
    <w:p>
      <w:pPr>
        <w:pStyle w:val="ListParagraph"/>
        <w:numPr>
          <w:ilvl w:val="0"/>
          <w:numId w:val="1"/>
        </w:numPr>
        <w:spacing w:line="240"/>
        <w:jc w:val="left"/>
      </w:pPr>
      <w:r>
        <w:rPr>
          <w:b/>
          <w:bCs/>
        </w:rPr>
        <w:t xml:space="preserve">What if user changes pincode/cart after estimate?</w:t>
      </w:r>
    </w:p>
    <w:p>
      <w:pPr>
        <w:pStyle w:val="ListParagraph"/>
        <w:numPr>
          <w:ilvl w:val="1"/>
          <w:numId w:val="1"/>
        </w:numPr>
        <w:spacing w:line="240"/>
        <w:jc w:val="left"/>
      </w:pPr>
      <w:r>
        <w:t xml:space="preserve">Dynamically update fee/COD badge accordingly.</w:t>
      </w:r>
    </w:p>
    <w:p>
      <w:pPr>
        <w:pStyle w:val="ListParagraph"/>
        <w:numPr>
          <w:ilvl w:val="0"/>
          <w:numId w:val="1"/>
        </w:numPr>
        <w:spacing w:line="240"/>
        <w:jc w:val="left"/>
      </w:pPr>
      <w:r>
        <w:rPr>
          <w:b/>
          <w:bCs/>
        </w:rPr>
        <w:t xml:space="preserve">Concurrent user action:</w:t>
      </w:r>
      <w:r>
        <w:t xml:space="preserve"> Cart update during slow fee fetch must queue/fetch new estimate, never stale data.</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Launch Plan</w:t>
      </w:r>
    </w:p>
    <w:p>
      <w:pPr>
        <w:pStyle w:val="Heading3"/>
        <w:spacing w:line="240"/>
        <w:jc w:val="left"/>
      </w:pPr>
      <w:r>
        <w:t xml:space="preserve">Phases</w:t>
      </w:r>
    </w:p>
    <w:p>
      <w:pPr>
        <w:pStyle w:val="ListParagraph"/>
        <w:numPr>
          <w:ilvl w:val="0"/>
          <w:numId w:val="1"/>
        </w:numPr>
        <w:spacing w:line="240"/>
        <w:jc w:val="left"/>
      </w:pPr>
      <w:r>
        <w:rPr>
          <w:b/>
          <w:bCs/>
        </w:rPr>
        <w:t xml:space="preserve">Phase 1:</w:t>
      </w:r>
      <w:r>
        <w:t xml:space="preserve"> Diagnostic + Quick Wins</w:t>
      </w:r>
    </w:p>
    <w:p>
      <w:pPr>
        <w:pStyle w:val="ListParagraph"/>
        <w:numPr>
          <w:ilvl w:val="1"/>
          <w:numId w:val="1"/>
        </w:numPr>
        <w:spacing w:line="240"/>
        <w:jc w:val="left"/>
      </w:pPr>
      <w:r>
        <w:rPr>
          <w:i/>
          <w:iCs/>
        </w:rPr>
        <w:t xml:space="preserve">Purpose:</w:t>
      </w:r>
      <w:r>
        <w:t xml:space="preserve"> Establish ground truth on drop-off/fixes; address low-hanging fruit</w:t>
      </w:r>
    </w:p>
    <w:p>
      <w:pPr>
        <w:pStyle w:val="ListParagraph"/>
        <w:numPr>
          <w:ilvl w:val="1"/>
          <w:numId w:val="1"/>
        </w:numPr>
        <w:spacing w:line="240"/>
        <w:jc w:val="left"/>
      </w:pPr>
      <w:r>
        <w:rPr>
          <w:i/>
          <w:iCs/>
        </w:rPr>
        <w:t xml:space="preserve">Entry criteria:</w:t>
      </w:r>
      <w:r>
        <w:t xml:space="preserve"> Engineering readiness; analytics endpoints ready</w:t>
      </w:r>
    </w:p>
    <w:p>
      <w:pPr>
        <w:pStyle w:val="ListParagraph"/>
        <w:numPr>
          <w:ilvl w:val="1"/>
          <w:numId w:val="1"/>
        </w:numPr>
        <w:spacing w:line="240"/>
        <w:jc w:val="left"/>
      </w:pPr>
      <w:r>
        <w:rPr>
          <w:i/>
          <w:iCs/>
        </w:rPr>
        <w:t xml:space="preserve">Exit criteria:</w:t>
      </w:r>
      <w:r>
        <w:t xml:space="preserve"> Full funnel instrumented; fee/COD fixes live; baseline metrics</w:t>
      </w:r>
    </w:p>
    <w:p>
      <w:pPr>
        <w:pStyle w:val="ListParagraph"/>
        <w:numPr>
          <w:ilvl w:val="1"/>
          <w:numId w:val="1"/>
        </w:numPr>
        <w:spacing w:line="240"/>
        <w:jc w:val="left"/>
      </w:pPr>
      <w:r>
        <w:rPr>
          <w:i/>
          <w:iCs/>
        </w:rPr>
        <w:t xml:space="preserve">Duration:</w:t>
      </w:r>
      <w:r>
        <w:t xml:space="preserve"> 4 weeks</w:t>
      </w:r>
    </w:p>
    <w:p>
      <w:pPr>
        <w:pStyle w:val="ListParagraph"/>
        <w:numPr>
          <w:ilvl w:val="0"/>
          <w:numId w:val="1"/>
        </w:numPr>
        <w:spacing w:line="240"/>
        <w:jc w:val="left"/>
      </w:pPr>
      <w:r>
        <w:rPr>
          <w:b/>
          <w:bCs/>
        </w:rPr>
        <w:t xml:space="preserve">Phase 2:</w:t>
      </w:r>
      <w:r>
        <w:t xml:space="preserve"> Checkout Redesign &amp; Experiment</w:t>
      </w:r>
    </w:p>
    <w:p>
      <w:pPr>
        <w:pStyle w:val="ListParagraph"/>
        <w:numPr>
          <w:ilvl w:val="1"/>
          <w:numId w:val="1"/>
        </w:numPr>
        <w:spacing w:line="240"/>
        <w:jc w:val="left"/>
      </w:pPr>
      <w:r>
        <w:rPr>
          <w:i/>
          <w:iCs/>
        </w:rPr>
        <w:t xml:space="preserve">Purpose:</w:t>
      </w:r>
      <w:r>
        <w:t xml:space="preserve"> Test and scale solution with controlled experiment</w:t>
      </w:r>
    </w:p>
    <w:p>
      <w:pPr>
        <w:pStyle w:val="ListParagraph"/>
        <w:numPr>
          <w:ilvl w:val="1"/>
          <w:numId w:val="1"/>
        </w:numPr>
        <w:spacing w:line="240"/>
        <w:jc w:val="left"/>
      </w:pPr>
      <w:r>
        <w:rPr>
          <w:i/>
          <w:iCs/>
        </w:rPr>
        <w:t xml:space="preserve">Entry criteria:</w:t>
      </w:r>
      <w:r>
        <w:t xml:space="preserve"> Phase 1 instrumented, key fixes deployed</w:t>
      </w:r>
    </w:p>
    <w:p>
      <w:pPr>
        <w:pStyle w:val="ListParagraph"/>
        <w:numPr>
          <w:ilvl w:val="1"/>
          <w:numId w:val="1"/>
        </w:numPr>
        <w:spacing w:line="240"/>
        <w:jc w:val="left"/>
      </w:pPr>
      <w:r>
        <w:rPr>
          <w:i/>
          <w:iCs/>
        </w:rPr>
        <w:t xml:space="preserve">Exit criteria:</w:t>
      </w:r>
      <w:r>
        <w:t xml:space="preserve"> Statistically significant (95%+) CCR improvement</w:t>
      </w:r>
    </w:p>
    <w:p>
      <w:pPr>
        <w:pStyle w:val="ListParagraph"/>
        <w:numPr>
          <w:ilvl w:val="1"/>
          <w:numId w:val="1"/>
        </w:numPr>
        <w:spacing w:line="240"/>
        <w:jc w:val="left"/>
      </w:pPr>
      <w:r>
        <w:rPr>
          <w:i/>
          <w:iCs/>
        </w:rPr>
        <w:t xml:space="preserve">Duration:</w:t>
      </w:r>
      <w:r>
        <w:t xml:space="preserve"> 6 weeks</w:t>
      </w:r>
    </w:p>
    <w:p>
      <w:pPr>
        <w:pStyle w:val="ListParagraph"/>
        <w:numPr>
          <w:ilvl w:val="0"/>
          <w:numId w:val="1"/>
        </w:numPr>
        <w:spacing w:line="240"/>
        <w:jc w:val="left"/>
      </w:pPr>
      <w:r>
        <w:rPr>
          <w:b/>
          <w:bCs/>
        </w:rPr>
        <w:t xml:space="preserve">Phase 3:</w:t>
      </w:r>
      <w:r>
        <w:t xml:space="preserve"> Full Rollout</w:t>
      </w:r>
    </w:p>
    <w:p>
      <w:pPr>
        <w:pStyle w:val="ListParagraph"/>
        <w:numPr>
          <w:ilvl w:val="1"/>
          <w:numId w:val="1"/>
        </w:numPr>
        <w:spacing w:line="240"/>
        <w:jc w:val="left"/>
      </w:pPr>
      <w:r>
        <w:rPr>
          <w:i/>
          <w:iCs/>
        </w:rPr>
        <w:t xml:space="preserve">Purpose:</w:t>
      </w:r>
      <w:r>
        <w:t xml:space="preserve"> GA of effective flows</w:t>
      </w:r>
    </w:p>
    <w:p>
      <w:pPr>
        <w:pStyle w:val="ListParagraph"/>
        <w:numPr>
          <w:ilvl w:val="1"/>
          <w:numId w:val="1"/>
        </w:numPr>
        <w:spacing w:line="240"/>
        <w:jc w:val="left"/>
      </w:pPr>
      <w:r>
        <w:rPr>
          <w:i/>
          <w:iCs/>
        </w:rPr>
        <w:t xml:space="preserve">Entry criteria:</w:t>
      </w:r>
      <w:r>
        <w:t xml:space="preserve"> A/B surpasses 95% significance, metrics stable</w:t>
      </w:r>
    </w:p>
    <w:p>
      <w:pPr>
        <w:pStyle w:val="ListParagraph"/>
        <w:numPr>
          <w:ilvl w:val="1"/>
          <w:numId w:val="1"/>
        </w:numPr>
        <w:spacing w:line="240"/>
        <w:jc w:val="left"/>
      </w:pPr>
      <w:r>
        <w:rPr>
          <w:i/>
          <w:iCs/>
        </w:rPr>
        <w:t xml:space="preserve">Exit criteria:</w:t>
      </w:r>
      <w:r>
        <w:t xml:space="preserve"> All users on updated flow</w:t>
      </w:r>
    </w:p>
    <w:p>
      <w:pPr>
        <w:pStyle w:val="ListParagraph"/>
        <w:numPr>
          <w:ilvl w:val="1"/>
          <w:numId w:val="1"/>
        </w:numPr>
        <w:spacing w:line="240"/>
        <w:jc w:val="left"/>
      </w:pPr>
      <w:r>
        <w:rPr>
          <w:i/>
          <w:iCs/>
        </w:rPr>
        <w:t xml:space="preserve">Duration:</w:t>
      </w:r>
      <w:r>
        <w:t xml:space="preserve"> 6 weeks</w:t>
      </w:r>
    </w:p>
    <w:p>
      <w:pPr>
        <w:pStyle w:val="Heading3"/>
        <w:spacing w:line="240"/>
        <w:jc w:val="left"/>
      </w:pPr>
      <w:r>
        <w:t xml:space="preserve">Experiment Design</w:t>
      </w:r>
    </w:p>
    <w:p>
      <w:pPr>
        <w:pStyle w:val="ListParagraph"/>
        <w:numPr>
          <w:ilvl w:val="0"/>
          <w:numId w:val="1"/>
        </w:numPr>
        <w:spacing w:line="240"/>
        <w:jc w:val="left"/>
      </w:pPr>
      <w:r>
        <w:rPr>
          <w:b/>
          <w:bCs/>
        </w:rPr>
        <w:t xml:space="preserve">Type:</w:t>
      </w:r>
      <w:r>
        <w:t xml:space="preserve"> A/B test (Phase 2, payment failure recovery flow)</w:t>
      </w:r>
    </w:p>
    <w:p>
      <w:pPr>
        <w:pStyle w:val="ListParagraph"/>
        <w:numPr>
          <w:ilvl w:val="0"/>
          <w:numId w:val="1"/>
        </w:numPr>
        <w:spacing w:line="240"/>
        <w:jc w:val="left"/>
      </w:pPr>
      <w:r>
        <w:rPr>
          <w:b/>
          <w:bCs/>
        </w:rPr>
        <w:t xml:space="preserve">Sample size:</w:t>
      </w:r>
      <w:r>
        <w:t xml:space="preserve"> ~500,000 users per arm for statistical significance (est. based on baseline CCR uplift of 15%)</w:t>
      </w:r>
    </w:p>
    <w:p>
      <w:pPr>
        <w:pStyle w:val="ListParagraph"/>
        <w:numPr>
          <w:ilvl w:val="0"/>
          <w:numId w:val="1"/>
        </w:numPr>
        <w:spacing w:line="240"/>
        <w:jc w:val="left"/>
      </w:pPr>
      <w:r>
        <w:rPr>
          <w:b/>
          <w:bCs/>
        </w:rPr>
        <w:t xml:space="preserve">Success criteria:</w:t>
      </w:r>
      <w:r>
        <w:t xml:space="preserve"> CCR improves by at least 10%, statistically significant at 95% confidence, no drop in guardrails</w:t>
      </w:r>
      <w:r>
        <w:br/>
        <w:t xml:space="preserve"/>
      </w:r>
      <w:r>
        <w:t xml:space="preserve">Gray Zone Decision Rule: If CCR improvement is directionally positive but below the 10% threshold (e.g., 5–9% lift at 95% confidence), the decision is not an automatic rollback. The PM and Data Lead jointly evaluate: (a) whether the improvement is statistically significant at 90% confidence, (b) whether secondary metrics (payment drop-off, support tickets) corroborate the direction, and (c) whether the cost of delay outweighs shipping a smaller-than-expected gain. A documented decision memo is required before proceeding or pausing.</w:t>
      </w:r>
    </w:p>
    <w:p>
      <w:pPr>
        <w:pStyle w:val="ListParagraph"/>
        <w:numPr>
          <w:ilvl w:val="0"/>
          <w:numId w:val="1"/>
        </w:numPr>
        <w:spacing w:line="240"/>
        <w:jc w:val="left"/>
      </w:pPr>
      <w:r>
        <w:t xml:space="preserve">Success criteria: CCR improves by at least 10%, statistically significant at 95% confidence, no drop in guardrails</w:t>
      </w:r>
    </w:p>
    <w:p>
      <w:pPr>
        <w:pStyle w:val="ListParagraph"/>
        <w:numPr>
          <w:ilvl w:val="0"/>
          <w:numId w:val="1"/>
        </w:numPr>
        <w:spacing w:line="240"/>
        <w:jc w:val="left"/>
      </w:pPr>
      <w:r>
        <w:rPr>
          <w:b/>
          <w:bCs/>
        </w:rPr>
        <w:t xml:space="preserve">Gray Zone Decision Rule:</w:t>
      </w:r>
      <w:r>
        <w:t xml:space="preserve"> If CCR improvement is directionally positive but below the 10% threshold (e.g., 5–9% lift at 95% confidence), the decision is not an automatic rollback. The PM and Data Lead jointly evaluate: (a) whether the improvement is statistically significant at 90% confidence, (b) whether secondary metrics (payment drop-off, support tickets) corroborate the direction, and (c) whether the cost of delay outweighs shipping a smaller-than-expected gain. A documented decision memo is required before proceeding or pausing.</w:t>
      </w:r>
    </w:p>
    <w:p>
      <w:pPr>
        <w:pStyle w:val="Heading3"/>
        <w:spacing w:line="240"/>
        <w:jc w:val="left"/>
      </w:pPr>
      <w:r>
        <w:t xml:space="preserve">Experiment Design</w:t>
      </w:r>
    </w:p>
    <w:p>
      <w:pPr>
        <w:pStyle w:val="ListParagraph"/>
        <w:numPr>
          <w:ilvl w:val="0"/>
          <w:numId w:val="1"/>
        </w:numPr>
        <w:spacing w:line="240"/>
        <w:jc w:val="left"/>
      </w:pPr>
      <w:r>
        <w:t xml:space="preserve">Payments API: Rely on Payments Team for real-time failure detection + alternate payment APIs</w:t>
      </w:r>
      <w:r>
        <w:br/>
        <w:t xml:space="preserve"/>
      </w:r>
      <w:r>
        <w:t xml:space="preserve">Contingency: Fallback to simple failure screen with messaging if APIs delayed</w:t>
      </w:r>
    </w:p>
    <w:p>
      <w:pPr>
        <w:pStyle w:val="ListParagraph"/>
        <w:numPr>
          <w:ilvl w:val="0"/>
          <w:numId w:val="1"/>
        </w:numPr>
        <w:spacing w:line="240"/>
        <w:jc w:val="left"/>
      </w:pPr>
      <w:r>
        <w:t xml:space="preserve">Logistics API: Real-time pincode lookup for fee estimates/COD</w:t>
      </w:r>
      <w:r>
        <w:br/>
        <w:t xml:space="preserve"/>
      </w:r>
      <w:r>
        <w:t xml:space="preserve">Contingency: Cache fallback or user-retry flows</w:t>
      </w:r>
    </w:p>
    <w:p>
      <w:pPr>
        <w:pStyle w:val="ListParagraph"/>
        <w:numPr>
          <w:ilvl w:val="0"/>
          <w:numId w:val="1"/>
        </w:numPr>
        <w:spacing w:line="240"/>
        <w:jc w:val="left"/>
      </w:pPr>
      <w:r>
        <w:t xml:space="preserve">Logistics commitment: Logistics must confirm API readiness and provide a sandbox environment by end of Week 1. If this commitment is not met by Day 5 of Week 1, the PM escalates immediately to the Engineering Director and activates the contingency plan: display a static estimated fee range based on category-level averages (not pincode-level), with a disclaimer 'Exact shipping cost confirmed at checkout.' This fallback ships on the same Week 3 timeline regardless of Logistics API status.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Stakeholder Alignment &amp; RACI</w:t>
      </w:r>
    </w:p>
    <w:p>
      <w:pPr>
        <w:spacing w:line="240"/>
        <w:jc w:val="left"/>
      </w:pPr>
      <w:r>
        <w:t xml:space="preserve">With Payments, Frontend, Logistics, and Trust &amp; Safety all contributing to checkout, clear ownership is critical to avoid delays and conflicting implementations. Establishing a RACI ensures decisions, responsibilities, and handoffs are unambiguous across teams.</w:t>
      </w:r>
    </w:p>
    <w:tbl>
      <w:tblPr>
        <w:tblW w:type="dxa" w:w="8313"/>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15"/>
          <w:left w:type="dxa" w:w="115"/>
          <w:bottom w:type="dxa" w:w="115"/>
          <w:right w:type="dxa" w:w="115"/>
        </w:tblCellMar>
      </w:tblPr>
      <w:tblGrid>
        <w:gridCol w:w="1187"/>
        <w:gridCol w:w="1187"/>
        <w:gridCol w:w="1187"/>
        <w:gridCol w:w="1187"/>
        <w:gridCol w:w="1187"/>
        <w:gridCol w:w="1187"/>
        <w:gridCol w:w="1187"/>
      </w:tblGrid>
      <w:tr>
        <w:tc>
          <w:tcPr>
            <w:tcW w:type="dxa" w:w="1187"/>
          </w:tcPr>
          <w:p>
            <w:pPr>
              <w:spacing w:line="240"/>
              <w:jc w:val="left"/>
            </w:pPr>
            <w:r>
              <w:rPr>
                <w:b/>
                <w:bCs/>
              </w:rPr>
              <w:t xml:space="preserve">Workstream</w:t>
            </w:r>
          </w:p>
        </w:tc>
        <w:tc>
          <w:tcPr>
            <w:tcW w:type="dxa" w:w="1187"/>
          </w:tcPr>
          <w:p>
            <w:pPr>
              <w:spacing w:line="240"/>
              <w:jc w:val="left"/>
            </w:pPr>
            <w:r>
              <w:rPr>
                <w:b/>
                <w:bCs/>
              </w:rPr>
              <w:t xml:space="preserve">PM</w:t>
            </w:r>
          </w:p>
        </w:tc>
        <w:tc>
          <w:tcPr>
            <w:tcW w:type="dxa" w:w="1187"/>
          </w:tcPr>
          <w:p>
            <w:pPr>
              <w:spacing w:line="240"/>
              <w:jc w:val="left"/>
            </w:pPr>
            <w:r>
              <w:rPr>
                <w:b/>
                <w:bCs/>
              </w:rPr>
              <w:t xml:space="preserve">Frontend</w:t>
            </w:r>
          </w:p>
        </w:tc>
        <w:tc>
          <w:tcPr>
            <w:tcW w:type="dxa" w:w="1187"/>
          </w:tcPr>
          <w:p>
            <w:pPr>
              <w:spacing w:line="240"/>
              <w:jc w:val="left"/>
            </w:pPr>
            <w:r>
              <w:rPr>
                <w:b/>
                <w:bCs/>
              </w:rPr>
              <w:t xml:space="preserve">Payments</w:t>
            </w:r>
          </w:p>
        </w:tc>
        <w:tc>
          <w:tcPr>
            <w:tcW w:type="dxa" w:w="1187"/>
          </w:tcPr>
          <w:p>
            <w:pPr>
              <w:spacing w:line="240"/>
              <w:jc w:val="left"/>
            </w:pPr>
            <w:r>
              <w:rPr>
                <w:b/>
                <w:bCs/>
              </w:rPr>
              <w:t xml:space="preserve">Logistics</w:t>
            </w:r>
          </w:p>
        </w:tc>
        <w:tc>
          <w:tcPr>
            <w:tcW w:type="dxa" w:w="1187"/>
          </w:tcPr>
          <w:p>
            <w:pPr>
              <w:spacing w:line="240"/>
              <w:jc w:val="left"/>
            </w:pPr>
            <w:r>
              <w:rPr>
                <w:b/>
                <w:bCs/>
              </w:rPr>
              <w:t xml:space="preserve">Trust &amp; Safety</w:t>
            </w:r>
          </w:p>
        </w:tc>
        <w:tc>
          <w:tcPr>
            <w:tcW w:type="dxa" w:w="1187"/>
          </w:tcPr>
          <w:p>
            <w:pPr>
              <w:spacing w:line="240"/>
              <w:jc w:val="left"/>
            </w:pPr>
            <w:r>
              <w:rPr>
                <w:b/>
                <w:bCs/>
              </w:rPr>
              <w:t xml:space="preserve">Data</w:t>
            </w:r>
          </w:p>
        </w:tc>
      </w:tr>
      <w:tr>
        <w:tc>
          <w:tcPr>
            <w:tcW w:type="dxa" w:w="1187"/>
          </w:tcPr>
          <w:p>
            <w:pPr>
              <w:spacing w:line="240"/>
              <w:jc w:val="left"/>
            </w:pPr>
            <w:r>
              <w:t xml:space="preserve">Funnel Instrumentation</w:t>
            </w:r>
          </w:p>
        </w:tc>
        <w:tc>
          <w:tcPr>
            <w:tcW w:type="dxa" w:w="1187"/>
          </w:tcPr>
          <w:p>
            <w:pPr>
              <w:spacing w:line="240"/>
              <w:jc w:val="left"/>
            </w:pPr>
            <w:r>
              <w:t xml:space="preserve">Accountable</w:t>
            </w:r>
          </w:p>
        </w:tc>
        <w:tc>
          <w:tcPr>
            <w:tcW w:type="dxa" w:w="1187"/>
          </w:tcPr>
          <w:p>
            <w:pPr>
              <w:spacing w:line="240"/>
              <w:jc w:val="left"/>
            </w:pPr>
            <w:r>
              <w:t xml:space="preserve">Responsible</w:t>
            </w:r>
          </w:p>
        </w:tc>
        <w:tc>
          <w:tcPr>
            <w:tcW w:type="dxa" w:w="1187"/>
          </w:tcPr>
          <w:p>
            <w:pPr>
              <w:spacing w:line="240"/>
              <w:jc w:val="left"/>
            </w:pPr>
            <w:r>
              <w:t xml:space="preserve">Consulted</w:t>
            </w:r>
          </w:p>
        </w:tc>
        <w:tc>
          <w:tcPr>
            <w:tcW w:type="dxa" w:w="1187"/>
          </w:tcPr>
          <w:p>
            <w:pPr>
              <w:spacing w:line="240"/>
              <w:jc w:val="left"/>
            </w:pPr>
            <w:r>
              <w:t xml:space="preserve">Informed</w:t>
            </w:r>
          </w:p>
        </w:tc>
        <w:tc>
          <w:tcPr>
            <w:tcW w:type="dxa" w:w="1187"/>
          </w:tcPr>
          <w:p>
            <w:pPr>
              <w:spacing w:line="240"/>
              <w:jc w:val="left"/>
            </w:pPr>
            <w:r>
              <w:t xml:space="preserve">Informed</w:t>
            </w:r>
          </w:p>
        </w:tc>
        <w:tc>
          <w:tcPr>
            <w:tcW w:type="dxa" w:w="1187"/>
          </w:tcPr>
          <w:p>
            <w:pPr>
              <w:spacing w:line="240"/>
              <w:jc w:val="left"/>
            </w:pPr>
            <w:r>
              <w:t xml:space="preserve">Responsible</w:t>
            </w:r>
          </w:p>
        </w:tc>
      </w:tr>
      <w:tr>
        <w:tc>
          <w:tcPr>
            <w:tcW w:type="dxa" w:w="1187"/>
          </w:tcPr>
          <w:p>
            <w:pPr>
              <w:spacing w:line="240"/>
              <w:jc w:val="left"/>
            </w:pPr>
            <w:r>
              <w:t xml:space="preserve">Fee Transparency</w:t>
            </w:r>
          </w:p>
        </w:tc>
        <w:tc>
          <w:tcPr>
            <w:tcW w:type="dxa" w:w="1187"/>
          </w:tcPr>
          <w:p>
            <w:pPr>
              <w:spacing w:line="240"/>
              <w:jc w:val="left"/>
            </w:pPr>
            <w:r>
              <w:t xml:space="preserve">Accountable</w:t>
            </w:r>
          </w:p>
        </w:tc>
        <w:tc>
          <w:tcPr>
            <w:tcW w:type="dxa" w:w="1187"/>
          </w:tcPr>
          <w:p>
            <w:pPr>
              <w:spacing w:line="240"/>
              <w:jc w:val="left"/>
            </w:pPr>
            <w:r>
              <w:t xml:space="preserve">Responsible</w:t>
            </w:r>
          </w:p>
        </w:tc>
        <w:tc>
          <w:tcPr>
            <w:tcW w:type="dxa" w:w="1187"/>
          </w:tcPr>
          <w:p>
            <w:pPr>
              <w:spacing w:line="240"/>
              <w:jc w:val="left"/>
            </w:pPr>
            <w:r>
              <w:t xml:space="preserve">Informed</w:t>
            </w:r>
          </w:p>
        </w:tc>
        <w:tc>
          <w:tcPr>
            <w:tcW w:type="dxa" w:w="1187"/>
          </w:tcPr>
          <w:p>
            <w:pPr>
              <w:spacing w:line="240"/>
              <w:jc w:val="left"/>
            </w:pPr>
            <w:r>
              <w:t xml:space="preserve">Responsible</w:t>
            </w:r>
          </w:p>
        </w:tc>
        <w:tc>
          <w:tcPr>
            <w:tcW w:type="dxa" w:w="1187"/>
          </w:tcPr>
          <w:p>
            <w:pPr>
              <w:spacing w:line="240"/>
              <w:jc w:val="left"/>
            </w:pPr>
            <w:r>
              <w:t xml:space="preserve">Informed</w:t>
            </w:r>
          </w:p>
        </w:tc>
        <w:tc>
          <w:tcPr>
            <w:tcW w:type="dxa" w:w="1187"/>
          </w:tcPr>
          <w:p>
            <w:pPr>
              <w:spacing w:line="240"/>
              <w:jc w:val="left"/>
            </w:pPr>
            <w:r>
              <w:t xml:space="preserve">Consulted</w:t>
            </w:r>
          </w:p>
        </w:tc>
      </w:tr>
      <w:tr>
        <w:tc>
          <w:tcPr>
            <w:tcW w:type="dxa" w:w="1187"/>
          </w:tcPr>
          <w:p>
            <w:pPr>
              <w:spacing w:line="240"/>
              <w:jc w:val="left"/>
            </w:pPr>
            <w:r>
              <w:t xml:space="preserve">COD Visibility (Cart Badge)</w:t>
            </w:r>
          </w:p>
        </w:tc>
        <w:tc>
          <w:tcPr>
            <w:tcW w:type="dxa" w:w="1187"/>
          </w:tcPr>
          <w:p>
            <w:pPr>
              <w:spacing w:line="240"/>
              <w:jc w:val="left"/>
            </w:pPr>
            <w:r>
              <w:t xml:space="preserve">Accountable</w:t>
            </w:r>
          </w:p>
        </w:tc>
        <w:tc>
          <w:tcPr>
            <w:tcW w:type="dxa" w:w="1187"/>
          </w:tcPr>
          <w:p>
            <w:pPr>
              <w:spacing w:line="240"/>
              <w:jc w:val="left"/>
            </w:pPr>
            <w:r>
              <w:t xml:space="preserve">Responsible</w:t>
            </w:r>
          </w:p>
        </w:tc>
        <w:tc>
          <w:tcPr>
            <w:tcW w:type="dxa" w:w="1187"/>
          </w:tcPr>
          <w:p>
            <w:pPr>
              <w:spacing w:line="240"/>
              <w:jc w:val="left"/>
            </w:pPr>
            <w:r>
              <w:t xml:space="preserve">Informed</w:t>
            </w:r>
          </w:p>
        </w:tc>
        <w:tc>
          <w:tcPr>
            <w:tcW w:type="dxa" w:w="1187"/>
          </w:tcPr>
          <w:p>
            <w:pPr>
              <w:spacing w:line="240"/>
              <w:jc w:val="left"/>
            </w:pPr>
            <w:r>
              <w:t xml:space="preserve">Responsible</w:t>
            </w:r>
          </w:p>
        </w:tc>
        <w:tc>
          <w:tcPr>
            <w:tcW w:type="dxa" w:w="1187"/>
          </w:tcPr>
          <w:p>
            <w:pPr>
              <w:spacing w:line="240"/>
              <w:jc w:val="left"/>
            </w:pPr>
            <w:r>
              <w:t xml:space="preserve">Consulted</w:t>
            </w:r>
          </w:p>
        </w:tc>
        <w:tc>
          <w:tcPr>
            <w:tcW w:type="dxa" w:w="1187"/>
          </w:tcPr>
          <w:p>
            <w:pPr>
              <w:spacing w:line="240"/>
              <w:jc w:val="left"/>
            </w:pPr>
            <w:r>
              <w:t xml:space="preserve">Informed</w:t>
            </w:r>
          </w:p>
        </w:tc>
      </w:tr>
      <w:tr>
        <w:tc>
          <w:tcPr>
            <w:tcW w:type="dxa" w:w="1187"/>
          </w:tcPr>
          <w:p>
            <w:pPr>
              <w:spacing w:line="240"/>
              <w:jc w:val="left"/>
            </w:pPr>
            <w:r>
              <w:t xml:space="preserve">Payment Failure Recovery Flow</w:t>
            </w:r>
          </w:p>
        </w:tc>
        <w:tc>
          <w:tcPr>
            <w:tcW w:type="dxa" w:w="1187"/>
          </w:tcPr>
          <w:p>
            <w:pPr>
              <w:spacing w:line="240"/>
              <w:jc w:val="left"/>
            </w:pPr>
            <w:r>
              <w:t xml:space="preserve">Accountable</w:t>
            </w:r>
          </w:p>
        </w:tc>
        <w:tc>
          <w:tcPr>
            <w:tcW w:type="dxa" w:w="1187"/>
          </w:tcPr>
          <w:p>
            <w:pPr>
              <w:spacing w:line="240"/>
              <w:jc w:val="left"/>
            </w:pPr>
            <w:r>
              <w:t xml:space="preserve">Responsible</w:t>
            </w:r>
          </w:p>
        </w:tc>
        <w:tc>
          <w:tcPr>
            <w:tcW w:type="dxa" w:w="1187"/>
          </w:tcPr>
          <w:p>
            <w:pPr>
              <w:spacing w:line="240"/>
              <w:jc w:val="left"/>
            </w:pPr>
            <w:r>
              <w:t xml:space="preserve">Responsible</w:t>
            </w:r>
          </w:p>
        </w:tc>
        <w:tc>
          <w:tcPr>
            <w:tcW w:type="dxa" w:w="1187"/>
          </w:tcPr>
          <w:p>
            <w:pPr>
              <w:spacing w:line="240"/>
              <w:jc w:val="left"/>
            </w:pPr>
            <w:r>
              <w:t xml:space="preserve">Informed</w:t>
            </w:r>
          </w:p>
        </w:tc>
        <w:tc>
          <w:tcPr>
            <w:tcW w:type="dxa" w:w="1187"/>
          </w:tcPr>
          <w:p>
            <w:pPr>
              <w:spacing w:line="240"/>
              <w:jc w:val="left"/>
            </w:pPr>
            <w:r>
              <w:t xml:space="preserve">Consulted</w:t>
            </w:r>
          </w:p>
        </w:tc>
        <w:tc>
          <w:tcPr>
            <w:tcW w:type="dxa" w:w="1187"/>
          </w:tcPr>
          <w:p>
            <w:pPr>
              <w:spacing w:line="240"/>
              <w:jc w:val="left"/>
            </w:pPr>
            <w:r>
              <w:t xml:space="preserve">Consulted</w:t>
            </w:r>
          </w:p>
        </w:tc>
      </w:tr>
      <w:tr>
        <w:tc>
          <w:tcPr>
            <w:tcW w:type="dxa" w:w="1187"/>
          </w:tcPr>
          <w:p>
            <w:pPr>
              <w:spacing w:line="240"/>
              <w:jc w:val="left"/>
            </w:pPr>
            <w:r>
              <w:t xml:space="preserve">Page Load Optimization</w:t>
            </w:r>
          </w:p>
        </w:tc>
        <w:tc>
          <w:tcPr>
            <w:tcW w:type="dxa" w:w="1187"/>
          </w:tcPr>
          <w:p>
            <w:pPr>
              <w:spacing w:line="240"/>
              <w:jc w:val="left"/>
            </w:pPr>
            <w:r>
              <w:t xml:space="preserve">Accountable</w:t>
            </w:r>
          </w:p>
        </w:tc>
        <w:tc>
          <w:tcPr>
            <w:tcW w:type="dxa" w:w="1187"/>
          </w:tcPr>
          <w:p>
            <w:pPr>
              <w:spacing w:line="240"/>
              <w:jc w:val="left"/>
            </w:pPr>
            <w:r>
              <w:t xml:space="preserve">Responsible</w:t>
            </w:r>
          </w:p>
        </w:tc>
        <w:tc>
          <w:tcPr>
            <w:tcW w:type="dxa" w:w="1187"/>
          </w:tcPr>
          <w:p>
            <w:pPr>
              <w:spacing w:line="240"/>
              <w:jc w:val="left"/>
            </w:pPr>
            <w:r>
              <w:t xml:space="preserve">Consulted</w:t>
            </w:r>
          </w:p>
        </w:tc>
        <w:tc>
          <w:tcPr>
            <w:tcW w:type="dxa" w:w="1187"/>
          </w:tcPr>
          <w:p>
            <w:pPr>
              <w:spacing w:line="240"/>
              <w:jc w:val="left"/>
            </w:pPr>
            <w:r>
              <w:t xml:space="preserve">Informed</w:t>
            </w:r>
          </w:p>
        </w:tc>
        <w:tc>
          <w:tcPr>
            <w:tcW w:type="dxa" w:w="1187"/>
          </w:tcPr>
          <w:p>
            <w:pPr>
              <w:spacing w:line="240"/>
              <w:jc w:val="left"/>
            </w:pPr>
            <w:r>
              <w:t xml:space="preserve">Informed</w:t>
            </w:r>
          </w:p>
        </w:tc>
        <w:tc>
          <w:tcPr>
            <w:tcW w:type="dxa" w:w="1187"/>
          </w:tcPr>
          <w:p>
            <w:pPr>
              <w:spacing w:line="240"/>
              <w:jc w:val="left"/>
            </w:pPr>
            <w:r>
              <w:t xml:space="preserve">Informed</w:t>
            </w:r>
          </w:p>
        </w:tc>
      </w:tr>
      <w:tr>
        <w:tc>
          <w:tcPr>
            <w:tcW w:type="dxa" w:w="1187"/>
          </w:tcPr>
          <w:p>
            <w:pPr>
              <w:spacing w:line="240"/>
              <w:jc w:val="left"/>
            </w:pPr>
            <w:r>
              <w:t xml:space="preserve">Trust Badges &amp; Security Signals</w:t>
            </w:r>
          </w:p>
        </w:tc>
        <w:tc>
          <w:tcPr>
            <w:tcW w:type="dxa" w:w="1187"/>
          </w:tcPr>
          <w:p>
            <w:pPr>
              <w:spacing w:line="240"/>
              <w:jc w:val="left"/>
            </w:pPr>
            <w:r>
              <w:t xml:space="preserve">Accountable</w:t>
            </w:r>
          </w:p>
        </w:tc>
        <w:tc>
          <w:tcPr>
            <w:tcW w:type="dxa" w:w="1187"/>
          </w:tcPr>
          <w:p>
            <w:pPr>
              <w:spacing w:line="240"/>
              <w:jc w:val="left"/>
            </w:pPr>
            <w:r>
              <w:t xml:space="preserve">Responsible</w:t>
            </w:r>
          </w:p>
        </w:tc>
        <w:tc>
          <w:tcPr>
            <w:tcW w:type="dxa" w:w="1187"/>
          </w:tcPr>
          <w:p>
            <w:pPr>
              <w:spacing w:line="240"/>
              <w:jc w:val="left"/>
            </w:pPr>
            <w:r>
              <w:t xml:space="preserve">Consulted</w:t>
            </w:r>
          </w:p>
        </w:tc>
        <w:tc>
          <w:tcPr>
            <w:tcW w:type="dxa" w:w="1187"/>
          </w:tcPr>
          <w:p>
            <w:pPr>
              <w:spacing w:line="240"/>
              <w:jc w:val="left"/>
            </w:pPr>
            <w:r>
              <w:t xml:space="preserve">Informed</w:t>
            </w:r>
          </w:p>
        </w:tc>
        <w:tc>
          <w:tcPr>
            <w:tcW w:type="dxa" w:w="1187"/>
          </w:tcPr>
          <w:p>
            <w:pPr>
              <w:spacing w:line="240"/>
              <w:jc w:val="left"/>
            </w:pPr>
            <w:r>
              <w:t xml:space="preserve">Responsible</w:t>
            </w:r>
          </w:p>
        </w:tc>
        <w:tc>
          <w:tcPr>
            <w:tcW w:type="dxa" w:w="1187"/>
          </w:tcPr>
          <w:p>
            <w:pPr>
              <w:spacing w:line="240"/>
              <w:jc w:val="left"/>
            </w:pPr>
            <w:r>
              <w:t xml:space="preserve">Informed</w:t>
            </w:r>
          </w:p>
        </w:tc>
      </w:tr>
      <w:tr>
        <w:tc>
          <w:tcPr>
            <w:tcW w:type="dxa" w:w="1187"/>
          </w:tcPr>
          <w:p>
            <w:pPr>
              <w:spacing w:line="240"/>
              <w:jc w:val="left"/>
            </w:pPr>
            <w:r>
              <w:t xml:space="preserve">A/B Experiment Design &amp; Readout</w:t>
            </w:r>
          </w:p>
        </w:tc>
        <w:tc>
          <w:tcPr>
            <w:tcW w:type="dxa" w:w="1187"/>
          </w:tcPr>
          <w:p>
            <w:pPr>
              <w:spacing w:line="240"/>
              <w:jc w:val="left"/>
            </w:pPr>
            <w:r>
              <w:t xml:space="preserve">Accountable</w:t>
            </w:r>
          </w:p>
        </w:tc>
        <w:tc>
          <w:tcPr>
            <w:tcW w:type="dxa" w:w="1187"/>
          </w:tcPr>
          <w:p>
            <w:pPr>
              <w:spacing w:line="240"/>
              <w:jc w:val="left"/>
            </w:pPr>
            <w:r>
              <w:t xml:space="preserve">Consulted</w:t>
            </w:r>
          </w:p>
        </w:tc>
        <w:tc>
          <w:tcPr>
            <w:tcW w:type="dxa" w:w="1187"/>
          </w:tcPr>
          <w:p>
            <w:pPr>
              <w:spacing w:line="240"/>
              <w:jc w:val="left"/>
            </w:pPr>
            <w:r>
              <w:t xml:space="preserve">Consulted</w:t>
            </w:r>
          </w:p>
        </w:tc>
        <w:tc>
          <w:tcPr>
            <w:tcW w:type="dxa" w:w="1187"/>
          </w:tcPr>
          <w:p>
            <w:pPr>
              <w:spacing w:line="240"/>
              <w:jc w:val="left"/>
            </w:pPr>
            <w:r>
              <w:t xml:space="preserve">Informed</w:t>
            </w:r>
          </w:p>
        </w:tc>
        <w:tc>
          <w:tcPr>
            <w:tcW w:type="dxa" w:w="1187"/>
          </w:tcPr>
          <w:p>
            <w:pPr>
              <w:spacing w:line="240"/>
              <w:jc w:val="left"/>
            </w:pPr>
            <w:r>
              <w:t xml:space="preserve">Informed</w:t>
            </w:r>
          </w:p>
        </w:tc>
        <w:tc>
          <w:tcPr>
            <w:tcW w:type="dxa" w:w="1187"/>
          </w:tcPr>
          <w:p>
            <w:pPr>
              <w:spacing w:line="240"/>
              <w:jc w:val="left"/>
            </w:pPr>
            <w:r>
              <w:t xml:space="preserve">Responsible</w:t>
            </w:r>
          </w:p>
        </w:tc>
      </w:tr>
    </w:tbl>
    <w:p>
      <w:pPr>
        <w:pStyle w:val="Heading3"/>
        <w:spacing w:line="240"/>
        <w:jc w:val="left"/>
      </w:pPr>
      <w:r>
        <w:t xml:space="preserve">Escalation Path</w:t>
      </w:r>
    </w:p>
    <w:p>
      <w:pPr>
        <w:pStyle w:val="ListParagraph"/>
        <w:numPr>
          <w:ilvl w:val="0"/>
          <w:numId w:val="1"/>
        </w:numPr>
        <w:spacing w:line="240"/>
        <w:jc w:val="left"/>
      </w:pPr>
      <w:r>
        <w:t xml:space="preserve">Inter-team blockers (e.g., API delays from Logistics or Payments) escalate to the PM within 24 hours, then to the Engineering Director if unresolved in 48 hours.</w:t>
      </w:r>
    </w:p>
    <w:p>
      <w:pPr>
        <w:pStyle w:val="ListParagraph"/>
        <w:numPr>
          <w:ilvl w:val="0"/>
          <w:numId w:val="1"/>
        </w:numPr>
        <w:spacing w:line="240"/>
        <w:jc w:val="left"/>
      </w:pPr>
      <w:r>
        <w:t xml:space="preserve">Scope disputes between teams are arbitrated by the PM. If unresolved in 3 business days, escalate to the CPO.</w:t>
      </w:r>
    </w:p>
    <w:p>
      <w:pPr>
        <w:pStyle w:val="ListParagraph"/>
        <w:numPr>
          <w:ilvl w:val="0"/>
          <w:numId w:val="1"/>
        </w:numPr>
        <w:spacing w:line="240"/>
        <w:jc w:val="left"/>
      </w:pPr>
      <w:r>
        <w:t xml:space="preserve">Guardrail metric breaches (AOV drop, fraud spike) trigger an immediate rollback decision owned jointly by PM and the Data Lead.</w:t>
      </w:r>
    </w:p>
    <w:p>
      <w:pPr>
        <w:pStyle w:val="Heading2"/>
        <w:spacing w:line="240"/>
        <w:jc w:val="left"/>
      </w:pPr>
      <w:r>
        <w:t xml:space="preserve">Key Milestones</w:t>
      </w:r>
    </w:p>
    <w:tbl>
      <w:tblPr>
        <w:tblW w:type="dxa" w:w="8313"/>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15"/>
          <w:left w:type="dxa" w:w="115"/>
          <w:bottom w:type="dxa" w:w="115"/>
          <w:right w:type="dxa" w:w="115"/>
        </w:tblCellMar>
      </w:tblPr>
      <w:tblGrid>
        <w:gridCol w:w="2078"/>
        <w:gridCol w:w="2078"/>
        <w:gridCol w:w="2078"/>
        <w:gridCol w:w="2078"/>
      </w:tblGrid>
      <w:tr>
        <w:tc>
          <w:tcPr>
            <w:tcW w:type="dxa" w:w="2078"/>
          </w:tcPr>
          <w:p>
            <w:pPr>
              <w:spacing w:line="240"/>
              <w:jc w:val="left"/>
            </w:pPr>
            <w:r>
              <w:t xml:space="preserve">Milestone</w:t>
            </w:r>
          </w:p>
        </w:tc>
        <w:tc>
          <w:tcPr>
            <w:tcW w:type="dxa" w:w="2078"/>
          </w:tcPr>
          <w:p>
            <w:pPr>
              <w:spacing w:line="240"/>
              <w:jc w:val="left"/>
            </w:pPr>
            <w:r>
              <w:t xml:space="preserve">Date</w:t>
            </w:r>
          </w:p>
        </w:tc>
        <w:tc>
          <w:tcPr>
            <w:tcW w:type="dxa" w:w="2078"/>
          </w:tcPr>
          <w:p>
            <w:pPr>
              <w:spacing w:line="240"/>
              <w:jc w:val="left"/>
            </w:pPr>
            <w:r>
              <w:t xml:space="preserve">Owner</w:t>
            </w:r>
          </w:p>
        </w:tc>
        <w:tc>
          <w:tcPr>
            <w:tcW w:type="dxa" w:w="2078"/>
          </w:tcPr>
          <w:p>
            <w:pPr>
              <w:spacing w:line="240"/>
              <w:jc w:val="left"/>
            </w:pPr>
            <w:r>
              <w:t xml:space="preserve">Status</w:t>
            </w:r>
          </w:p>
        </w:tc>
      </w:tr>
      <w:tr>
        <w:tc>
          <w:tcPr>
            <w:tcW w:type="dxa" w:w="2078"/>
          </w:tcPr>
          <w:p>
            <w:pPr>
              <w:spacing w:line="240"/>
              <w:jc w:val="left"/>
            </w:pPr>
            <w:r>
              <w:t xml:space="preserve">Funnel instrumentation live</w:t>
            </w:r>
          </w:p>
        </w:tc>
        <w:tc>
          <w:tcPr>
            <w:tcW w:type="dxa" w:w="2078"/>
          </w:tcPr>
          <w:p>
            <w:pPr>
              <w:spacing w:line="240"/>
              <w:jc w:val="left"/>
            </w:pPr>
            <w:r>
              <w:t xml:space="preserve">Week 2</w:t>
            </w:r>
          </w:p>
        </w:tc>
        <w:tc>
          <w:tcPr>
            <w:tcW w:type="dxa" w:w="2078"/>
          </w:tcPr>
          <w:p>
            <w:pPr>
              <w:spacing w:line="240"/>
              <w:jc w:val="left"/>
            </w:pPr>
            <w:r>
              <w:t xml:space="preserve">Frontend Lead</w:t>
            </w:r>
          </w:p>
        </w:tc>
        <w:tc>
          <w:tcPr>
            <w:tcW w:type="dxa" w:w="2078"/>
          </w:tcPr>
          <w:p>
            <w:pPr>
              <w:spacing w:line="240"/>
              <w:jc w:val="left"/>
            </w:pPr>
            <w:r>
              <w:t xml:space="preserve">Planned</w:t>
            </w:r>
          </w:p>
        </w:tc>
      </w:tr>
      <w:tr>
        <w:tc>
          <w:tcPr>
            <w:tcW w:type="dxa" w:w="2078"/>
          </w:tcPr>
          <w:p>
            <w:pPr>
              <w:spacing w:line="240"/>
              <w:jc w:val="left"/>
            </w:pPr>
            <w:r>
              <w:t xml:space="preserve">Fee transparency shipped</w:t>
            </w:r>
          </w:p>
        </w:tc>
        <w:tc>
          <w:tcPr>
            <w:tcW w:type="dxa" w:w="2078"/>
          </w:tcPr>
          <w:p>
            <w:pPr>
              <w:spacing w:line="240"/>
              <w:jc w:val="left"/>
            </w:pPr>
            <w:r>
              <w:t xml:space="preserve">Week 3</w:t>
            </w:r>
          </w:p>
        </w:tc>
        <w:tc>
          <w:tcPr>
            <w:tcW w:type="dxa" w:w="2078"/>
          </w:tcPr>
          <w:p>
            <w:pPr>
              <w:spacing w:line="240"/>
              <w:jc w:val="left"/>
            </w:pPr>
            <w:r>
              <w:t xml:space="preserve">Frontend + Logistics</w:t>
            </w:r>
          </w:p>
        </w:tc>
        <w:tc>
          <w:tcPr>
            <w:tcW w:type="dxa" w:w="2078"/>
          </w:tcPr>
          <w:p>
            <w:pPr>
              <w:spacing w:line="240"/>
              <w:jc w:val="left"/>
            </w:pPr>
            <w:r>
              <w:t xml:space="preserve">Planned</w:t>
            </w:r>
          </w:p>
        </w:tc>
      </w:tr>
      <w:tr>
        <w:tc>
          <w:tcPr>
            <w:tcW w:type="dxa" w:w="2078"/>
          </w:tcPr>
          <w:p>
            <w:pPr>
              <w:spacing w:line="240"/>
              <w:jc w:val="left"/>
            </w:pPr>
            <w:r>
              <w:t xml:space="preserve">COD badge shipped</w:t>
            </w:r>
          </w:p>
        </w:tc>
        <w:tc>
          <w:tcPr>
            <w:tcW w:type="dxa" w:w="2078"/>
          </w:tcPr>
          <w:p>
            <w:pPr>
              <w:spacing w:line="240"/>
              <w:jc w:val="left"/>
            </w:pPr>
            <w:r>
              <w:t xml:space="preserve">Week 3</w:t>
            </w:r>
          </w:p>
        </w:tc>
        <w:tc>
          <w:tcPr>
            <w:tcW w:type="dxa" w:w="2078"/>
          </w:tcPr>
          <w:p>
            <w:pPr>
              <w:spacing w:line="240"/>
              <w:jc w:val="left"/>
            </w:pPr>
            <w:r>
              <w:t xml:space="preserve">Trust &amp; Safety + Logistics</w:t>
            </w:r>
          </w:p>
        </w:tc>
        <w:tc>
          <w:tcPr>
            <w:tcW w:type="dxa" w:w="2078"/>
          </w:tcPr>
          <w:p>
            <w:pPr>
              <w:spacing w:line="240"/>
              <w:jc w:val="left"/>
            </w:pPr>
            <w:r>
              <w:t xml:space="preserve">Planned</w:t>
            </w:r>
          </w:p>
        </w:tc>
      </w:tr>
      <w:tr>
        <w:tc>
          <w:tcPr>
            <w:tcW w:type="dxa" w:w="2078"/>
          </w:tcPr>
          <w:p>
            <w:pPr>
              <w:spacing w:line="240"/>
              <w:jc w:val="left"/>
            </w:pPr>
            <w:r>
              <w:t xml:space="preserve">Payment failure recovery A/B launched</w:t>
            </w:r>
          </w:p>
        </w:tc>
        <w:tc>
          <w:tcPr>
            <w:tcW w:type="dxa" w:w="2078"/>
          </w:tcPr>
          <w:p>
            <w:pPr>
              <w:spacing w:line="240"/>
              <w:jc w:val="left"/>
            </w:pPr>
            <w:r>
              <w:t xml:space="preserve">Week 6</w:t>
            </w:r>
          </w:p>
        </w:tc>
        <w:tc>
          <w:tcPr>
            <w:tcW w:type="dxa" w:w="2078"/>
          </w:tcPr>
          <w:p>
            <w:pPr>
              <w:spacing w:line="240"/>
              <w:jc w:val="left"/>
            </w:pPr>
            <w:r>
              <w:t xml:space="preserve">Payments Team</w:t>
            </w:r>
          </w:p>
        </w:tc>
        <w:tc>
          <w:tcPr>
            <w:tcW w:type="dxa" w:w="2078"/>
          </w:tcPr>
          <w:p>
            <w:pPr>
              <w:spacing w:line="240"/>
              <w:jc w:val="left"/>
            </w:pPr>
            <w:r>
              <w:t xml:space="preserve">Planned</w:t>
            </w:r>
          </w:p>
        </w:tc>
      </w:tr>
      <w:tr>
        <w:tc>
          <w:tcPr>
            <w:tcW w:type="dxa" w:w="2078"/>
          </w:tcPr>
          <w:p>
            <w:pPr>
              <w:spacing w:line="240"/>
              <w:jc w:val="left"/>
            </w:pPr>
            <w:r>
              <w:t xml:space="preserve">Phase 1 data readout</w:t>
            </w:r>
          </w:p>
        </w:tc>
        <w:tc>
          <w:tcPr>
            <w:tcW w:type="dxa" w:w="2078"/>
          </w:tcPr>
          <w:p>
            <w:pPr>
              <w:spacing w:line="240"/>
              <w:jc w:val="left"/>
            </w:pPr>
            <w:r>
              <w:t xml:space="preserve">Week 5</w:t>
            </w:r>
          </w:p>
        </w:tc>
        <w:tc>
          <w:tcPr>
            <w:tcW w:type="dxa" w:w="2078"/>
          </w:tcPr>
          <w:p>
            <w:pPr>
              <w:spacing w:line="240"/>
              <w:jc w:val="left"/>
            </w:pPr>
            <w:r>
              <w:t xml:space="preserve">PM</w:t>
            </w:r>
          </w:p>
        </w:tc>
        <w:tc>
          <w:tcPr>
            <w:tcW w:type="dxa" w:w="2078"/>
          </w:tcPr>
          <w:p>
            <w:pPr>
              <w:spacing w:line="240"/>
              <w:jc w:val="left"/>
            </w:pPr>
            <w:r>
              <w:t xml:space="preserve">Planned</w:t>
            </w:r>
          </w:p>
        </w:tc>
      </w:tr>
      <w:tr>
        <w:tc>
          <w:tcPr>
            <w:tcW w:type="dxa" w:w="2078"/>
          </w:tcPr>
          <w:p>
            <w:pPr>
              <w:spacing w:line="240"/>
              <w:jc w:val="left"/>
            </w:pPr>
            <w:r>
              <w:t xml:space="preserve">Phase 2 A/B results</w:t>
            </w:r>
          </w:p>
        </w:tc>
        <w:tc>
          <w:tcPr>
            <w:tcW w:type="dxa" w:w="2078"/>
          </w:tcPr>
          <w:p>
            <w:pPr>
              <w:spacing w:line="240"/>
              <w:jc w:val="left"/>
            </w:pPr>
            <w:r>
              <w:t xml:space="preserve">Week 10</w:t>
            </w:r>
          </w:p>
        </w:tc>
        <w:tc>
          <w:tcPr>
            <w:tcW w:type="dxa" w:w="2078"/>
          </w:tcPr>
          <w:p>
            <w:pPr>
              <w:spacing w:line="240"/>
              <w:jc w:val="left"/>
            </w:pPr>
            <w:r>
              <w:t xml:space="preserve">PM + Data</w:t>
            </w:r>
          </w:p>
        </w:tc>
        <w:tc>
          <w:tcPr>
            <w:tcW w:type="dxa" w:w="2078"/>
          </w:tcPr>
          <w:p>
            <w:pPr>
              <w:spacing w:line="240"/>
              <w:jc w:val="left"/>
            </w:pPr>
            <w:r>
              <w:t xml:space="preserve">Planned</w:t>
            </w:r>
          </w:p>
        </w:tc>
      </w:tr>
      <w:tr>
        <w:tc>
          <w:tcPr>
            <w:tcW w:type="dxa" w:w="2078"/>
          </w:tcPr>
          <w:p>
            <w:pPr>
              <w:spacing w:line="240"/>
              <w:jc w:val="left"/>
            </w:pPr>
            <w:r>
              <w:t xml:space="preserve">Full checkout redesign GA</w:t>
            </w:r>
          </w:p>
        </w:tc>
        <w:tc>
          <w:tcPr>
            <w:tcW w:type="dxa" w:w="2078"/>
          </w:tcPr>
          <w:p>
            <w:pPr>
              <w:spacing w:line="240"/>
              <w:jc w:val="left"/>
            </w:pPr>
            <w:r>
              <w:t xml:space="preserve">Week 16</w:t>
            </w:r>
          </w:p>
        </w:tc>
        <w:tc>
          <w:tcPr>
            <w:tcW w:type="dxa" w:w="2078"/>
          </w:tcPr>
          <w:p>
            <w:pPr>
              <w:spacing w:line="240"/>
              <w:jc w:val="left"/>
            </w:pPr>
            <w:r>
              <w:t xml:space="preserve">PM + Design + Engineering</w:t>
            </w:r>
          </w:p>
        </w:tc>
        <w:tc>
          <w:tcPr>
            <w:tcW w:type="dxa" w:w="2078"/>
          </w:tcPr>
          <w:p>
            <w:pPr>
              <w:spacing w:line="240"/>
              <w:jc w:val="left"/>
            </w:pPr>
            <w:r>
              <w:t xml:space="preserve">Planned</w:t>
            </w:r>
          </w:p>
        </w:tc>
      </w:tr>
    </w:tbl>
    <w:p>
      <w:pPr>
        <w:pStyle w:val="Heading3"/>
        <w:spacing w:line="240"/>
        <w:jc w:val="left"/>
      </w:pPr>
      <w:r>
        <w:t xml:space="preserve">Dependencies</w:t>
      </w:r>
    </w:p>
    <w:p>
      <w:pPr>
        <w:pStyle w:val="ListParagraph"/>
        <w:numPr>
          <w:ilvl w:val="0"/>
          <w:numId w:val="1"/>
        </w:numPr>
        <w:spacing w:line="240"/>
        <w:jc w:val="left"/>
      </w:pPr>
      <w:r>
        <w:t xml:space="preserve">Payment failure recovery A/B (</w:t>
      </w:r>
      <w:r>
        <w:rPr>
          <w:b/>
          <w:bCs/>
        </w:rPr>
        <w:t xml:space="preserve">week 6</w:t>
      </w:r>
      <w:r>
        <w:t xml:space="preserve">) dependent on granular funnel instrumentation (</w:t>
      </w:r>
      <w:r>
        <w:rPr>
          <w:b/>
          <w:bCs/>
        </w:rPr>
        <w:t xml:space="preserve">week 2</w:t>
      </w:r>
      <w:r>
        <w:t xml:space="preserve">) and data readout (</w:t>
      </w:r>
      <w:r>
        <w:rPr>
          <w:b/>
          <w:bCs/>
        </w:rPr>
        <w:t xml:space="preserve">week 5</w:t>
      </w:r>
      <w:r>
        <w:t xml:space="preserve">)</w:t>
      </w:r>
    </w:p>
    <w:p>
      <w:pPr>
        <w:pStyle w:val="ListParagraph"/>
        <w:numPr>
          <w:ilvl w:val="0"/>
          <w:numId w:val="1"/>
        </w:numPr>
        <w:spacing w:line="240"/>
        <w:jc w:val="left"/>
      </w:pPr>
      <w:r>
        <w:t xml:space="preserve">Fee/COD visibility code requires Logistics API readiness</w:t>
      </w:r>
    </w:p>
    <w:p>
      <w:pPr>
        <w:pStyle w:val="ListParagraph"/>
        <w:numPr>
          <w:ilvl w:val="0"/>
          <w:numId w:val="1"/>
        </w:numPr>
        <w:spacing w:line="240"/>
        <w:jc w:val="left"/>
      </w:pPr>
      <w:r>
        <w:t xml:space="preserve">Full launch gated on Phase 2 experiment surpassing metrics and QA exit</w:t>
      </w:r>
    </w:p>
    <w:p>
      <w:pPr>
        <w:pStyle w:val="horizontalRule"/>
      </w:pPr>
      <w:r>
        <w:pict>
          <v:rect style="width:0.0pt;height:.05pt;mso-width-percent:0;mso-height-percent:0;mso-width-percent:0;mso-height-percent:0" o:hr="t" o:hrstd="t" o:hralign="center" fillcolor="#A0A0A0" stroked="f"/>
        </w:pict>
      </w:r>
    </w:p>
    <w:sectPr>
      <w:pgSz w:w="21cm" w:h="29.7cm" w:orient="portrait"/>
      <w:pgMar w:top="2.54cm" w:right="3.17cm" w:bottom="2.54cm" w:left="3.17cm"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00" w:before="0" w:line="276"/>
    </w:pPr>
    <w:rPr>
      <w:rFonts w:ascii="Aptos" w:cs="Aptos" w:eastAsia="Aptos" w:hAnsi="Aptos"/>
      <w:sz w:val="22"/>
      <w:szCs w:val="22"/>
    </w:rPr>
  </w:style>
  <w:style w:type="paragraph" w:styleId="ListParagraph">
    <w:name w:val="List Paragraph"/>
    <w:basedOn w:val="Normal"/>
    <w:qFormat/>
    <w:pPr>
      <w:spacing w:after="40" w:before="0" w:line="240"/>
    </w:pPr>
    <w:rPr>
      <w:rFonts w:ascii="Aptos" w:cs="Aptos" w:eastAsia="Aptos" w:hAnsi="Aptos"/>
      <w:sz w:val="22"/>
      <w:szCs w:val="22"/>
    </w:rPr>
  </w:style>
  <w:style w:type="paragraph" w:styleId="Heading1">
    <w:name w:val="Heading 1"/>
    <w:basedOn w:val="Normal"/>
    <w:next w:val="Normal"/>
    <w:qFormat/>
    <w:pPr>
      <w:spacing w:after="120" w:before="24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after="120" w:before="24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after="120" w:before="240" w:line="276"/>
    </w:pPr>
    <w:rPr>
      <w:rFonts w:ascii="Aptos" w:cs="Aptos" w:eastAsia="Aptos" w:hAnsi="Aptos"/>
      <w:b/>
      <w:bCs/>
      <w:color w:val="2E74B5"/>
      <w:sz w:val="26"/>
      <w:szCs w:val="26"/>
    </w:rPr>
  </w:style>
  <w:style w:type="paragraph" w:styleId="Heading4">
    <w:name w:val="Heading 4"/>
    <w:basedOn w:val="Normal"/>
    <w:next w:val="Normal"/>
    <w:qFormat/>
    <w:pPr>
      <w:spacing w:after="120" w:before="240" w:line="276"/>
    </w:pPr>
    <w:rPr>
      <w:rFonts w:ascii="Aptos" w:cs="Aptos" w:eastAsia="Aptos" w:hAnsi="Aptos"/>
      <w:b/>
      <w:bCs/>
      <w:color w:val="2E74B5"/>
      <w:sz w:val="24"/>
      <w:szCs w:val="24"/>
    </w:rPr>
  </w:style>
  <w:style w:type="paragraph" w:styleId="Heading5">
    <w:name w:val="Heading 5"/>
    <w:basedOn w:val="Normal"/>
    <w:next w:val="Normal"/>
    <w:qFormat/>
    <w:pPr>
      <w:spacing w:after="120" w:before="240" w:line="276"/>
    </w:pPr>
    <w:rPr>
      <w:rFonts w:ascii="Aptos" w:cs="Aptos" w:eastAsia="Aptos" w:hAnsi="Aptos"/>
      <w:b/>
      <w:bCs/>
      <w:color w:val="2E74B5"/>
      <w:sz w:val="22"/>
      <w:szCs w:val="22"/>
    </w:rPr>
  </w:style>
  <w:style w:type="paragraph" w:styleId="Title">
    <w:name w:val="Title"/>
    <w:basedOn w:val="Normal"/>
    <w:next w:val="Normal"/>
    <w:qFormat/>
    <w:pPr>
      <w:spacing w:after="0" w:before="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after="0" w:before="0" w:line="276"/>
      <w:jc w:val="center"/>
    </w:pPr>
    <w:rPr>
      <w:rFonts w:ascii="Aptos Light" w:cs="Aptos Light" w:eastAsia="Aptos Light" w:hAnsi="Aptos Light"/>
      <w:i/>
      <w:iCs/>
      <w:color w:val="666666"/>
      <w:sz w:val="32"/>
      <w:szCs w:val="32"/>
    </w:rPr>
  </w:style>
  <w:style w:type="paragraph" w:styleId="Quote">
    <w:name w:val="Quote"/>
    <w:basedOn w:val="Normal"/>
    <w:qFormat/>
    <w:pPr>
      <w:spacing w:after="200" w:before="200" w:line="276"/>
      <w:jc w:val="center"/>
    </w:pPr>
    <w:rPr>
      <w:rFonts w:ascii="Aptos" w:cs="Aptos" w:eastAsia="Aptos" w:hAnsi="Aptos"/>
      <w:i/>
      <w:iCs/>
    </w:rPr>
  </w:style>
  <w:style w:type="paragraph" w:styleId="IntenseQuote">
    <w:name w:val="Intense Quote"/>
    <w:basedOn w:val="Normal"/>
    <w:qFormat/>
    <w:pPr>
      <w:spacing w:after="200" w:before="200" w:line="276"/>
      <w:jc w:val="center"/>
    </w:pPr>
    <w:rPr>
      <w:rFonts w:ascii="Aptos" w:cs="Aptos" w:eastAsia="Aptos" w:hAnsi="Aptos"/>
      <w:i/>
      <w:iCs/>
      <w:color w:val="444444"/>
    </w:rPr>
  </w:style>
  <w:style w:type="paragraph" w:styleId="NoSpacing">
    <w:name w:val="No Spacing"/>
    <w:basedOn w:val="Normal"/>
    <w:qFormat/>
    <w:pPr>
      <w:spacing w:after="0" w:before="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2026-03-26T08:09:27.386Z</dcterms:created>
  <dcterms:modified xsi:type="dcterms:W3CDTF">2026-03-26T08:09:27.386Z</dcterms:modified>
</cp:coreProperties>
</file>

<file path=docProps/custom.xml><?xml version="1.0" encoding="utf-8"?>
<Properties xmlns="http://schemas.openxmlformats.org/officeDocument/2006/custom-properties" xmlns:vt="http://schemas.openxmlformats.org/officeDocument/2006/docPropsVTypes"/>
</file>