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11"/>
        <w:tblW w:w="11218" w:type="dxa"/>
        <w:tblLayout w:type="fixed"/>
        <w:tblLook w:val="0420" w:firstRow="1" w:lastRow="0" w:firstColumn="0" w:lastColumn="0" w:noHBand="0" w:noVBand="1"/>
      </w:tblPr>
      <w:tblGrid>
        <w:gridCol w:w="2790"/>
        <w:gridCol w:w="1440"/>
        <w:gridCol w:w="1755"/>
        <w:gridCol w:w="2160"/>
        <w:gridCol w:w="1890"/>
        <w:gridCol w:w="1183"/>
      </w:tblGrid>
      <w:tr w:rsidR="00F63954" w:rsidRPr="00774545" w14:paraId="22D5EBF6" w14:textId="77777777" w:rsidTr="006C3382">
        <w:trPr>
          <w:tblHeader/>
        </w:trPr>
        <w:tc>
          <w:tcPr>
            <w:tcW w:w="279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E32D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5355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FA5C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Cannabis Use Group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25A0F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</w:p>
        </w:tc>
      </w:tr>
      <w:tr w:rsidR="00F63954" w:rsidRPr="00774545" w14:paraId="0349434F" w14:textId="77777777" w:rsidTr="006C3382">
        <w:trPr>
          <w:tblHeader/>
        </w:trPr>
        <w:tc>
          <w:tcPr>
            <w:tcW w:w="279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EF3F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Characteristic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C042C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non-user</w:t>
            </w:r>
            <w:r w:rsidRPr="00774545">
              <w:rPr>
                <w:rFonts w:ascii="Times New Roman" w:eastAsia="Arial" w:hAnsi="Times New Roman" w:cs="Times New Roman"/>
                <w:color w:val="000000"/>
              </w:rPr>
              <w:br/>
              <w:t>(N = 29)</w:t>
            </w:r>
            <w:r w:rsidRPr="00774545">
              <w:rPr>
                <w:rFonts w:ascii="Times New Roman" w:eastAsia="Arial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175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0658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occasional</w:t>
            </w:r>
            <w:r w:rsidRPr="00774545">
              <w:rPr>
                <w:rFonts w:ascii="Times New Roman" w:eastAsia="Arial" w:hAnsi="Times New Roman" w:cs="Times New Roman"/>
                <w:color w:val="000000"/>
              </w:rPr>
              <w:br/>
              <w:t>(N = 30)</w:t>
            </w:r>
            <w:r w:rsidRPr="00774545">
              <w:rPr>
                <w:rFonts w:ascii="Times New Roman" w:eastAsia="Arial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52945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daily</w:t>
            </w:r>
            <w:r w:rsidRPr="00774545">
              <w:rPr>
                <w:rFonts w:ascii="Times New Roman" w:eastAsia="Arial" w:hAnsi="Times New Roman" w:cs="Times New Roman"/>
                <w:color w:val="000000"/>
              </w:rPr>
              <w:br/>
              <w:t>(N = 25)</w:t>
            </w:r>
            <w:r w:rsidRPr="00774545">
              <w:rPr>
                <w:rFonts w:ascii="Times New Roman" w:eastAsia="Arial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2AF5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Total</w:t>
            </w:r>
            <w:r w:rsidRPr="00774545">
              <w:rPr>
                <w:rFonts w:ascii="Times New Roman" w:eastAsia="Arial" w:hAnsi="Times New Roman" w:cs="Times New Roman"/>
                <w:color w:val="000000"/>
              </w:rPr>
              <w:br/>
              <w:t>(N = 84)</w:t>
            </w:r>
            <w:r w:rsidRPr="00774545">
              <w:rPr>
                <w:rFonts w:ascii="Times New Roman" w:eastAsia="Arial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118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F29D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p-value</w:t>
            </w:r>
            <w:r w:rsidRPr="00774545">
              <w:rPr>
                <w:rFonts w:ascii="Times New Roman" w:eastAsia="Arial" w:hAnsi="Times New Roman" w:cs="Times New Roman"/>
                <w:color w:val="000000"/>
                <w:vertAlign w:val="superscript"/>
              </w:rPr>
              <w:t>2</w:t>
            </w:r>
          </w:p>
        </w:tc>
      </w:tr>
      <w:tr w:rsidR="00F63954" w:rsidRPr="00774545" w14:paraId="62C17ED4" w14:textId="77777777" w:rsidTr="006C3382">
        <w:tc>
          <w:tcPr>
            <w:tcW w:w="279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F21C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Age (years)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EFCB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32.29 (4.70)</w:t>
            </w:r>
          </w:p>
        </w:tc>
        <w:tc>
          <w:tcPr>
            <w:tcW w:w="175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F2480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31.15 (4.75)</w:t>
            </w:r>
          </w:p>
        </w:tc>
        <w:tc>
          <w:tcPr>
            <w:tcW w:w="216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80F99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32.75 (5.71)</w:t>
            </w:r>
          </w:p>
        </w:tc>
        <w:tc>
          <w:tcPr>
            <w:tcW w:w="189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5D44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32.02 (5.02)</w:t>
            </w:r>
          </w:p>
        </w:tc>
        <w:tc>
          <w:tcPr>
            <w:tcW w:w="118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B6C5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0.5</w:t>
            </w:r>
          </w:p>
        </w:tc>
      </w:tr>
      <w:tr w:rsidR="00F63954" w:rsidRPr="00774545" w14:paraId="7FC1ADBE" w14:textId="77777777" w:rsidTr="006C3382"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6DFF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Sex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7A775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FE27B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0849E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C70F8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6D68D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0.2</w:t>
            </w:r>
          </w:p>
        </w:tc>
      </w:tr>
      <w:tr w:rsidR="00F63954" w:rsidRPr="00774545" w14:paraId="67C01A6A" w14:textId="77777777" w:rsidTr="006C3382"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36003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73506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16 (55%)</w:t>
            </w:r>
          </w:p>
        </w:tc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9EA2B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10 (33%)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935F0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9 (36%)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F925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35 (42%)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0B72D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954" w:rsidRPr="00774545" w14:paraId="3F147FD4" w14:textId="77777777" w:rsidTr="006C3382"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24D97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78813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13 (45%)</w:t>
            </w:r>
          </w:p>
        </w:tc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C2229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20 (67%)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500A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16 (64%)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684F8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49 (58%)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8092B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954" w:rsidRPr="00774545" w14:paraId="50B1D0E4" w14:textId="77777777" w:rsidTr="006C3382"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8AD41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Body Mass Index (kg/m</w:t>
            </w:r>
            <w:r w:rsidRPr="001A2704">
              <w:rPr>
                <w:rFonts w:ascii="Times New Roman" w:eastAsia="Arial" w:hAnsi="Times New Roman" w:cs="Times New Roman"/>
                <w:b/>
                <w:color w:val="000000"/>
                <w:vertAlign w:val="superscript"/>
              </w:rPr>
              <w:t>2</w:t>
            </w: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B43CD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24.94 (4.72)</w:t>
            </w:r>
          </w:p>
        </w:tc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4B0E4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24.49 (3.96)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2F51F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27.08 (4.26)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2607B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25.42 (4.41)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C2DB1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0.066</w:t>
            </w:r>
          </w:p>
        </w:tc>
      </w:tr>
      <w:tr w:rsidR="00F63954" w:rsidRPr="00774545" w14:paraId="190F99FC" w14:textId="77777777" w:rsidTr="006C3382"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7A2C1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THC, after cannabis smoking (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>n</w:t>
            </w: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g/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>ml</w:t>
            </w: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B9D7B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0.0 (0.0, 0.0)</w:t>
            </w:r>
          </w:p>
        </w:tc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54995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5.73 (3.73, 9.47)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4A10F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17.84 (8.20, 42.42)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3A4AD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3.96 (0.0, 13.60)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14DBA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NA</w:t>
            </w:r>
          </w:p>
        </w:tc>
      </w:tr>
      <w:tr w:rsidR="00F63954" w:rsidRPr="00774545" w14:paraId="2FD20217" w14:textId="77777777" w:rsidTr="006C3382"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321FB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</w:rPr>
              <w:t>Time Interval of pupillary measurements after initiation of cannabis smoking (mins)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B4DF5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NA</w:t>
            </w:r>
          </w:p>
        </w:tc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A9D8C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63.93 (6.26)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AF321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</w:rPr>
              <w:t>60.16 (3.78)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E08B6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NA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11225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954" w:rsidRPr="00774545" w14:paraId="6D1926B3" w14:textId="77777777" w:rsidTr="006C3382">
        <w:tc>
          <w:tcPr>
            <w:tcW w:w="11218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EE85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vertAlign w:val="superscript"/>
              </w:rPr>
              <w:t>1</w:t>
            </w:r>
            <w:r w:rsidRPr="00774545">
              <w:rPr>
                <w:rFonts w:ascii="Times New Roman" w:eastAsia="Arial" w:hAnsi="Times New Roman" w:cs="Times New Roman"/>
                <w:color w:val="000000"/>
              </w:rPr>
              <w:t>Mean (SD); n (%); Median (IQR)</w:t>
            </w:r>
          </w:p>
        </w:tc>
      </w:tr>
      <w:tr w:rsidR="00F63954" w:rsidRPr="00774545" w14:paraId="754A6A93" w14:textId="77777777" w:rsidTr="006C3382">
        <w:tc>
          <w:tcPr>
            <w:tcW w:w="112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9EAE" w14:textId="77777777" w:rsidR="00F63954" w:rsidRPr="00774545" w:rsidRDefault="00F63954" w:rsidP="006C3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vertAlign w:val="superscript"/>
              </w:rPr>
              <w:t>2</w:t>
            </w:r>
            <w:r w:rsidRPr="00774545">
              <w:rPr>
                <w:rFonts w:ascii="Times New Roman" w:eastAsia="Arial" w:hAnsi="Times New Roman" w:cs="Times New Roman"/>
                <w:color w:val="000000"/>
              </w:rPr>
              <w:t>Kruskal-Wallis rank sum test; Pearson's Chi-squared test</w:t>
            </w:r>
          </w:p>
        </w:tc>
      </w:tr>
    </w:tbl>
    <w:p w14:paraId="42E782DC" w14:textId="77777777" w:rsidR="00F63954" w:rsidRDefault="00F63954" w:rsidP="00F63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SUPPLEMENTARY TABLE 1: Participant Characteristics by Cannabis Use Group</w:t>
      </w:r>
    </w:p>
    <w:p w14:paraId="730359C6" w14:textId="77777777" w:rsidR="00417458" w:rsidRDefault="00417458"/>
    <w:sectPr w:rsidR="0041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54"/>
    <w:rsid w:val="00417458"/>
    <w:rsid w:val="00D6434B"/>
    <w:rsid w:val="00F6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2D1E"/>
  <w15:chartTrackingRefBased/>
  <w15:docId w15:val="{5AF804AE-5136-4DE4-83CA-96FD83A7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95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1</cp:revision>
  <dcterms:created xsi:type="dcterms:W3CDTF">2023-10-06T00:10:00Z</dcterms:created>
  <dcterms:modified xsi:type="dcterms:W3CDTF">2023-10-06T00:11:00Z</dcterms:modified>
</cp:coreProperties>
</file>