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6746611B" w:rsidR="00304F4A" w:rsidRPr="00C13772" w:rsidRDefault="00662748" w:rsidP="00FF541D">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Two separate logistic regression</w:t>
      </w:r>
      <w:commentRangeEnd w:id="2"/>
      <w:r w:rsidR="00335A93">
        <w:rPr>
          <w:rStyle w:val="CommentReference"/>
        </w:rPr>
        <w:commentReference w:id="2"/>
      </w:r>
      <w:r>
        <w:rPr>
          <w:rFonts w:ascii="Times New Roman" w:hAnsi="Times New Roman" w:cs="Times New Roman"/>
          <w:sz w:val="24"/>
          <w:szCs w:val="24"/>
        </w:rPr>
        <w:t xml:space="preserv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3"/>
      <w:r>
        <w:rPr>
          <w:rFonts w:ascii="Times New Roman" w:hAnsi="Times New Roman" w:cs="Times New Roman"/>
          <w:sz w:val="24"/>
          <w:szCs w:val="24"/>
        </w:rPr>
        <w:t>slope</w:t>
      </w:r>
      <w:commentRangeEnd w:id="3"/>
      <w:r w:rsidR="004204A1">
        <w:rPr>
          <w:rStyle w:val="CommentReference"/>
        </w:rPr>
        <w:commentReference w:id="3"/>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6B6D64" w14:textId="7D0DC457"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432454E" w14:textId="4B658A8A"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4"/>
      <w:r>
        <w:rPr>
          <w:rFonts w:ascii="Times New Roman" w:hAnsi="Times New Roman" w:cs="Times New Roman"/>
          <w:sz w:val="24"/>
          <w:szCs w:val="24"/>
        </w:rPr>
        <w:t>smokers and non-smokers</w:t>
      </w:r>
      <w:commentRangeEnd w:id="4"/>
      <w:r>
        <w:rPr>
          <w:rStyle w:val="CommentReference"/>
        </w:rPr>
        <w:commentReference w:id="4"/>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715F0DA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5"/>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5"/>
            <w:r>
              <w:rPr>
                <w:rStyle w:val="CommentReference"/>
              </w:rPr>
              <w:commentReference w:id="5"/>
            </w:r>
          </w:p>
        </w:tc>
      </w:tr>
      <w:tr w:rsidR="00080F21" w14:paraId="5F36866B" w14:textId="77777777" w:rsidTr="00080F21">
        <w:tc>
          <w:tcPr>
            <w:tcW w:w="9350" w:type="dxa"/>
          </w:tcPr>
          <w:p w14:paraId="436044A7" w14:textId="77777777" w:rsidR="00080F21" w:rsidRDefault="00080F21" w:rsidP="00080F21">
            <w:pPr>
              <w:rPr>
                <w:rFonts w:ascii="Times New Roman" w:hAnsi="Times New Roman" w:cs="Times New Roman"/>
                <w:sz w:val="24"/>
                <w:szCs w:val="24"/>
              </w:rPr>
            </w:pP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2E951C4D"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lastRenderedPageBreak/>
        <w:t>shown</w:t>
      </w:r>
      <w:r w:rsidR="00335A93">
        <w:rPr>
          <w:rFonts w:ascii="Times New Roman" w:hAnsi="Times New Roman" w:cs="Times New Roman"/>
          <w:sz w:val="24"/>
          <w:szCs w:val="24"/>
        </w:rPr>
        <w:t xml:space="preserve">. From this plot, significant differences are seen between </w:t>
      </w:r>
      <w:r w:rsidR="00833772">
        <w:rPr>
          <w:rFonts w:ascii="Times New Roman" w:hAnsi="Times New Roman" w:cs="Times New Roman"/>
          <w:sz w:val="24"/>
          <w:szCs w:val="24"/>
        </w:rPr>
        <w:t xml:space="preserve">2 and 3.7 seconds and between 5.7 and 7.2 seconds.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1B91BED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commentRangeStart w:id="6"/>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6"/>
            <w:r w:rsidR="00335A93">
              <w:rPr>
                <w:rStyle w:val="CommentReference"/>
              </w:rPr>
              <w:commentReference w:id="6"/>
            </w:r>
          </w:p>
        </w:tc>
      </w:tr>
      <w:tr w:rsidR="00080F21" w14:paraId="634283D0" w14:textId="77777777" w:rsidTr="00080F21">
        <w:tc>
          <w:tcPr>
            <w:tcW w:w="9350" w:type="dxa"/>
          </w:tcPr>
          <w:p w14:paraId="2C4EBA01" w14:textId="46970777" w:rsidR="00080F21" w:rsidRPr="00833772" w:rsidRDefault="00833772" w:rsidP="00833772">
            <w:pPr>
              <w:rPr>
                <w:rFonts w:ascii="Times New Roman" w:hAnsi="Times New Roman" w:cs="Times New Roman"/>
                <w:sz w:val="24"/>
                <w:szCs w:val="24"/>
              </w:rPr>
            </w:pPr>
            <w:r w:rsidRPr="00833772">
              <w:rPr>
                <w:rFonts w:ascii="Times New Roman" w:hAnsi="Times New Roman" w:cs="Times New Roman"/>
                <w:sz w:val="24"/>
                <w:szCs w:val="24"/>
              </w:rPr>
              <w:t>*</w:t>
            </w:r>
            <w:r>
              <w:rPr>
                <w:rFonts w:ascii="Times New Roman" w:hAnsi="Times New Roman" w:cs="Times New Roman"/>
                <w:sz w:val="24"/>
                <w:szCs w:val="24"/>
              </w:rPr>
              <w:t xml:space="preserve"> </w:t>
            </w:r>
            <w:r w:rsidRPr="00833772">
              <w:rPr>
                <w:rFonts w:ascii="Times New Roman" w:hAnsi="Times New Roman" w:cs="Times New Roman"/>
                <w:sz w:val="24"/>
                <w:szCs w:val="24"/>
              </w:rPr>
              <w:t>Dashed lines indicate 2*se confidence interval around the estimate</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2FC744B0"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proofErr w:type="gramStart"/>
      <w:r w:rsidR="00415C2B">
        <w:rPr>
          <w:rFonts w:ascii="Times New Roman" w:hAnsi="Times New Roman" w:cs="Times New Roman"/>
          <w:sz w:val="24"/>
          <w:szCs w:val="24"/>
        </w:rPr>
        <w:t>over lap</w:t>
      </w:r>
      <w:proofErr w:type="gramEnd"/>
      <w:r w:rsidR="00415C2B">
        <w:rPr>
          <w:rFonts w:ascii="Times New Roman" w:hAnsi="Times New Roman" w:cs="Times New Roman"/>
          <w:sz w:val="24"/>
          <w:szCs w:val="24"/>
        </w:rPr>
        <w:t xml:space="preserve"> completely. From the figure, we can see a stronger initial constriction in non-users and a steady rebound after the light test; </w:t>
      </w:r>
      <w:proofErr w:type="gramStart"/>
      <w:r w:rsidR="00415C2B">
        <w:rPr>
          <w:rFonts w:ascii="Times New Roman" w:hAnsi="Times New Roman" w:cs="Times New Roman"/>
          <w:sz w:val="24"/>
          <w:szCs w:val="24"/>
        </w:rPr>
        <w:t>however</w:t>
      </w:r>
      <w:proofErr w:type="gramEnd"/>
      <w:r w:rsidR="00415C2B">
        <w:rPr>
          <w:rFonts w:ascii="Times New Roman" w:hAnsi="Times New Roman" w:cs="Times New Roman"/>
          <w:sz w:val="24"/>
          <w:szCs w:val="24"/>
        </w:rPr>
        <w:t xml:space="preserve">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lastRenderedPageBreak/>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3E4C2781" w:rsidR="009431A4" w:rsidRDefault="009431A4" w:rsidP="007862C8">
      <w:pPr>
        <w:spacing w:line="480" w:lineRule="auto"/>
        <w:rPr>
          <w:rFonts w:ascii="Times New Roman" w:hAnsi="Times New Roman" w:cs="Times New Roman"/>
          <w:sz w:val="24"/>
          <w:szCs w:val="24"/>
        </w:rPr>
      </w:pPr>
    </w:p>
    <w:p w14:paraId="0A9452E3" w14:textId="193BA36D" w:rsidR="00415C2B" w:rsidRDefault="00FF541D"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effects </w:t>
      </w:r>
      <w:proofErr w:type="gramStart"/>
      <w:r>
        <w:rPr>
          <w:rFonts w:ascii="Times New Roman" w:hAnsi="Times New Roman" w:cs="Times New Roman"/>
          <w:sz w:val="24"/>
          <w:szCs w:val="24"/>
        </w:rPr>
        <w:t xml:space="preserve">of </w:t>
      </w:r>
      <w:r w:rsidR="00EF2624">
        <w:rPr>
          <w:rFonts w:ascii="Times New Roman" w:hAnsi="Times New Roman" w:cs="Times New Roman"/>
          <w:sz w:val="24"/>
          <w:szCs w:val="24"/>
        </w:rPr>
        <w:t xml:space="preserve"> the</w:t>
      </w:r>
      <w:proofErr w:type="gramEnd"/>
      <w:r w:rsidR="00EF2624">
        <w:rPr>
          <w:rFonts w:ascii="Times New Roman" w:hAnsi="Times New Roman" w:cs="Times New Roman"/>
          <w:sz w:val="24"/>
          <w:szCs w:val="24"/>
        </w:rPr>
        <w:t xml:space="preserve"> testing delay after the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4. The testing delay ranged from 53 to 84 minutes with a mean of 62.22 minutes (</w:t>
      </w:r>
      <w:proofErr w:type="spellStart"/>
      <w:r w:rsidR="00EF2624">
        <w:rPr>
          <w:rFonts w:ascii="Times New Roman" w:hAnsi="Times New Roman" w:cs="Times New Roman"/>
          <w:sz w:val="24"/>
          <w:szCs w:val="24"/>
        </w:rPr>
        <w:t>sd</w:t>
      </w:r>
      <w:proofErr w:type="spellEnd"/>
      <w:r w:rsidR="00EF2624">
        <w:rPr>
          <w:rFonts w:ascii="Times New Roman" w:hAnsi="Times New Roman" w:cs="Times New Roman"/>
          <w:sz w:val="24"/>
          <w:szCs w:val="24"/>
        </w:rPr>
        <w:t xml:space="preserve"> = 5.57). Figure 5 depicts the average trajectory of non-smoker and smokers with a 60, 65, and 70 minute delay in testing. As shown in the figure, the initial pupil constriction after the start of the light test is reduced smokers with less delay in testing and reaches constriction similar to non-smoker with a longer delay in testing. However, the slope of the rebound dilation is still shallower in smokers with any of plotted test delays. </w:t>
      </w: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1DFF7F95"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4: </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lastRenderedPageBreak/>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77777777" w:rsidR="00080F21" w:rsidRDefault="00080F21" w:rsidP="00080F21">
            <w:pPr>
              <w:rPr>
                <w:rFonts w:ascii="Times New Roman" w:hAnsi="Times New Roman" w:cs="Times New Roman"/>
                <w:sz w:val="24"/>
                <w:szCs w:val="24"/>
              </w:rPr>
            </w:pP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1E0ED5EF"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5: </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r>
              <w:rPr>
                <w:noProof/>
              </w:rPr>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7271DD3C" w14:textId="77777777" w:rsidTr="00080F21">
        <w:tc>
          <w:tcPr>
            <w:tcW w:w="9350" w:type="dxa"/>
          </w:tcPr>
          <w:p w14:paraId="19266EB5" w14:textId="77777777" w:rsidR="00080F21" w:rsidRDefault="00080F21" w:rsidP="00080F21">
            <w:pPr>
              <w:rPr>
                <w:rFonts w:ascii="Times New Roman" w:hAnsi="Times New Roman" w:cs="Times New Roman"/>
                <w:sz w:val="24"/>
                <w:szCs w:val="24"/>
              </w:rPr>
            </w:pP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1154A6D7"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791408C" w14:textId="77777777" w:rsidR="00082FF4" w:rsidRDefault="00082FF4" w:rsidP="007862C8">
      <w:pPr>
        <w:spacing w:line="480" w:lineRule="auto"/>
        <w:rPr>
          <w:rFonts w:ascii="Times New Roman" w:hAnsi="Times New Roman" w:cs="Times New Roman"/>
          <w:sz w:val="24"/>
          <w:szCs w:val="24"/>
        </w:rPr>
      </w:pPr>
    </w:p>
    <w:p w14:paraId="063E320D" w14:textId="77777777" w:rsidR="007862C8" w:rsidRPr="007862C8" w:rsidRDefault="007862C8" w:rsidP="007862C8">
      <w:pPr>
        <w:spacing w:line="480" w:lineRule="auto"/>
        <w:rPr>
          <w:rFonts w:ascii="Times New Roman" w:hAnsi="Times New Roman" w:cs="Times New Roman"/>
          <w:sz w:val="24"/>
          <w:szCs w:val="24"/>
        </w:rPr>
      </w:pPr>
    </w:p>
    <w:sectPr w:rsidR="007862C8" w:rsidRPr="007862C8" w:rsidSect="007862C8">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082FF4" w:rsidRDefault="00082FF4" w:rsidP="00E01B17">
      <w:pPr>
        <w:pStyle w:val="CommentText"/>
      </w:pPr>
      <w:r>
        <w:rPr>
          <w:rStyle w:val="CommentReference"/>
        </w:rPr>
        <w:annotationRef/>
      </w:r>
      <w:r>
        <w:t>Stealing lanuage</w:t>
      </w:r>
    </w:p>
  </w:comment>
  <w:comment w:id="2" w:author="Godbole, Suneeta" w:date="2023-03-01T15:41:00Z" w:initials="GS">
    <w:p w14:paraId="0C825222" w14:textId="1FF74ACB" w:rsidR="00335A93" w:rsidRDefault="00335A93" w:rsidP="00053EEF">
      <w:pPr>
        <w:pStyle w:val="CommentText"/>
      </w:pPr>
      <w:r>
        <w:rPr>
          <w:rStyle w:val="CommentReference"/>
        </w:rPr>
        <w:annotationRef/>
      </w:r>
      <w:r>
        <w:t>Can the SoFR model be referred to as a logistic regression model?</w:t>
      </w:r>
    </w:p>
  </w:comment>
  <w:comment w:id="3"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4" w:author="Godbole, Suneeta" w:date="2023-03-01T15:39:00Z" w:initials="GS">
    <w:p w14:paraId="75163763" w14:textId="77777777"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5"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6" w:author="Godbole, Suneeta" w:date="2023-03-01T15:46:00Z" w:initials="GS">
    <w:p w14:paraId="7308536F" w14:textId="77777777" w:rsidR="00335A93" w:rsidRDefault="00335A93" w:rsidP="006E5DE3">
      <w:pPr>
        <w:pStyle w:val="CommentText"/>
      </w:pPr>
      <w:r>
        <w:rPr>
          <w:rStyle w:val="CommentReference"/>
        </w:rPr>
        <w:annotationRef/>
      </w:r>
      <w:r>
        <w:t>Plot with 2*SE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0C825222" w15:done="0"/>
  <w15:commentEx w15:paraId="547F0A5C" w15:done="0"/>
  <w15:commentEx w15:paraId="75163763" w15:done="0"/>
  <w15:commentEx w15:paraId="2A3C10E7" w15:done="0"/>
  <w15:commentEx w15:paraId="730853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A9F0AB" w16cex:dateUtc="2023-03-01T22:41:00Z"/>
  <w16cex:commentExtensible w16cex:durableId="27A90571" w16cex:dateUtc="2023-03-01T05:57:00Z"/>
  <w16cex:commentExtensible w16cex:durableId="27A9F01D" w16cex:dateUtc="2023-03-01T22:39:00Z"/>
  <w16cex:commentExtensible w16cex:durableId="27A9F046" w16cex:dateUtc="2023-03-01T22:39:00Z"/>
  <w16cex:commentExtensible w16cex:durableId="27A9F1EC" w16cex:dateUtc="2023-03-01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0C825222" w16cid:durableId="27A9F0AB"/>
  <w16cid:commentId w16cid:paraId="547F0A5C" w16cid:durableId="27A90571"/>
  <w16cid:commentId w16cid:paraId="75163763" w16cid:durableId="27A9F01D"/>
  <w16cid:commentId w16cid:paraId="2A3C10E7" w16cid:durableId="27A9F046"/>
  <w16cid:commentId w16cid:paraId="7308536F" w16cid:durableId="27A9F1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C0BD" w14:textId="77777777" w:rsidR="00257653" w:rsidRDefault="00257653" w:rsidP="007862C8">
      <w:pPr>
        <w:spacing w:after="0" w:line="240" w:lineRule="auto"/>
      </w:pPr>
      <w:r>
        <w:separator/>
      </w:r>
    </w:p>
  </w:endnote>
  <w:endnote w:type="continuationSeparator" w:id="0">
    <w:p w14:paraId="14387395" w14:textId="77777777" w:rsidR="00257653" w:rsidRDefault="00257653"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950C" w14:textId="77777777" w:rsidR="00257653" w:rsidRDefault="00257653" w:rsidP="007862C8">
      <w:pPr>
        <w:spacing w:after="0" w:line="240" w:lineRule="auto"/>
      </w:pPr>
      <w:r>
        <w:separator/>
      </w:r>
    </w:p>
  </w:footnote>
  <w:footnote w:type="continuationSeparator" w:id="0">
    <w:p w14:paraId="167AF2DD" w14:textId="77777777" w:rsidR="00257653" w:rsidRDefault="00257653"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0883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FF4"/>
    <w:rsid w:val="000D193E"/>
    <w:rsid w:val="00257653"/>
    <w:rsid w:val="00296641"/>
    <w:rsid w:val="00304F4A"/>
    <w:rsid w:val="00335A93"/>
    <w:rsid w:val="00355414"/>
    <w:rsid w:val="003F7377"/>
    <w:rsid w:val="00415C2B"/>
    <w:rsid w:val="004204A1"/>
    <w:rsid w:val="00597375"/>
    <w:rsid w:val="00652F77"/>
    <w:rsid w:val="00662748"/>
    <w:rsid w:val="0078090B"/>
    <w:rsid w:val="007862C8"/>
    <w:rsid w:val="007D35EA"/>
    <w:rsid w:val="00833772"/>
    <w:rsid w:val="008D7DC3"/>
    <w:rsid w:val="009431A4"/>
    <w:rsid w:val="00990BBF"/>
    <w:rsid w:val="009D0115"/>
    <w:rsid w:val="00A127E3"/>
    <w:rsid w:val="00AC636C"/>
    <w:rsid w:val="00B935D2"/>
    <w:rsid w:val="00C13772"/>
    <w:rsid w:val="00EE53BF"/>
    <w:rsid w:val="00EE6A32"/>
    <w:rsid w:val="00EF2624"/>
    <w:rsid w:val="00F76D34"/>
    <w:rsid w:val="00FA2DA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8</cp:revision>
  <dcterms:created xsi:type="dcterms:W3CDTF">2023-02-28T19:46:00Z</dcterms:created>
  <dcterms:modified xsi:type="dcterms:W3CDTF">2023-03-01T23:28:00Z</dcterms:modified>
</cp:coreProperties>
</file>