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bookmarkStart w:id="0" w:name="_Hlk135137697"/>
      <w:r>
        <w:rPr>
          <w:rFonts w:ascii="Times New Roman" w:hAnsi="Times New Roman" w:cs="Times New Roman"/>
          <w:sz w:val="24"/>
          <w:szCs w:val="24"/>
        </w:rPr>
        <w:t>Detecting changes in pupil response to light associated with cannabis consumption</w:t>
      </w:r>
      <w:bookmarkEnd w:id="0"/>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4D9EE2D1" w14:textId="472AE362" w:rsidR="001C5766" w:rsidRDefault="001C5766" w:rsidP="001C5766">
      <w:pPr>
        <w:spacing w:line="480" w:lineRule="auto"/>
        <w:rPr>
          <w:rFonts w:ascii="Times New Roman" w:hAnsi="Times New Roman" w:cs="Times New Roman"/>
          <w:sz w:val="24"/>
          <w:szCs w:val="24"/>
        </w:rPr>
      </w:pPr>
      <w:bookmarkStart w:id="1"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33176A2F"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and no-use cannabis use histories participated in </w:t>
      </w:r>
      <w:r w:rsidR="00906970">
        <w:rPr>
          <w:rFonts w:ascii="Times New Roman" w:hAnsi="Times New Roman" w:cs="Times New Roman"/>
          <w:sz w:val="24"/>
          <w:szCs w:val="24"/>
        </w:rPr>
        <w:t xml:space="preserve">tests of </w:t>
      </w:r>
      <w:r>
        <w:rPr>
          <w:rFonts w:ascii="Times New Roman" w:hAnsi="Times New Roman" w:cs="Times New Roman"/>
          <w:sz w:val="24"/>
          <w:szCs w:val="24"/>
        </w:rPr>
        <w:t xml:space="preserve">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(daily/occasional)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tools from functional data analysis.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2B378288"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 xml:space="preserve">small but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no use control</w:t>
      </w:r>
      <w:r w:rsidR="006726C3">
        <w:rPr>
          <w:rFonts w:ascii="Times New Roman" w:hAnsi="Times New Roman" w:cs="Times New Roman"/>
          <w:sz w:val="24"/>
          <w:szCs w:val="24"/>
        </w:rPr>
        <w:t>s</w:t>
      </w:r>
      <w:r>
        <w:rPr>
          <w:rFonts w:ascii="Times New Roman" w:hAnsi="Times New Roman" w:cs="Times New Roman"/>
          <w:sz w:val="24"/>
          <w:szCs w:val="24"/>
        </w:rPr>
        <w:t>. Additionally, a model predicting recent cannabis use using functional data analysis methods outperformed a predictive model using traditional methods (AUC: 0.71 vs 0.68</w:t>
      </w:r>
      <w:r w:rsidR="0077653A">
        <w:rPr>
          <w:rFonts w:ascii="Times New Roman" w:hAnsi="Times New Roman" w:cs="Times New Roman"/>
          <w:sz w:val="24"/>
          <w:szCs w:val="24"/>
        </w:rPr>
        <w:t xml:space="preserve">, </w:t>
      </w:r>
      <w:r w:rsidR="00B50533">
        <w:rPr>
          <w:rFonts w:ascii="Times New Roman" w:hAnsi="Times New Roman" w:cs="Times New Roman"/>
          <w:sz w:val="24"/>
          <w:szCs w:val="24"/>
        </w:rPr>
        <w:t>p</w:t>
      </w:r>
      <w:r w:rsidR="00B50533" w:rsidRPr="00C65ACD">
        <w:rPr>
          <w:rFonts w:ascii="Times New Roman" w:hAnsi="Times New Roman" w:cs="Times New Roman"/>
          <w:i/>
          <w:iCs/>
          <w:sz w:val="24"/>
          <w:szCs w:val="24"/>
        </w:rPr>
        <w:t xml:space="preserve"> </w:t>
      </w:r>
      <w:r w:rsidR="0077653A">
        <w:rPr>
          <w:rFonts w:ascii="Times New Roman" w:hAnsi="Times New Roman" w:cs="Times New Roman"/>
          <w:sz w:val="24"/>
          <w:szCs w:val="24"/>
        </w:rPr>
        <w:t xml:space="preserve">= </w:t>
      </w:r>
      <w:r w:rsidR="002A3771">
        <w:rPr>
          <w:rFonts w:ascii="Times New Roman" w:hAnsi="Times New Roman" w:cs="Times New Roman"/>
          <w:sz w:val="24"/>
          <w:szCs w:val="24"/>
        </w:rPr>
        <w:t>0.</w:t>
      </w:r>
      <w:r w:rsidR="00C65ACD">
        <w:rPr>
          <w:rFonts w:ascii="Times New Roman" w:hAnsi="Times New Roman" w:cs="Times New Roman"/>
          <w:sz w:val="24"/>
          <w:szCs w:val="24"/>
        </w:rPr>
        <w:t>6</w:t>
      </w:r>
      <w:r>
        <w:rPr>
          <w:rFonts w:ascii="Times New Roman" w:hAnsi="Times New Roman" w:cs="Times New Roman"/>
          <w:sz w:val="24"/>
          <w:szCs w:val="24"/>
        </w:rPr>
        <w:t xml:space="preserve">). Estimated trajectories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 found that acute cannabis smoking was associated with less initial and sustained </w:t>
      </w:r>
      <w:r w:rsidR="00382677">
        <w:rPr>
          <w:rFonts w:ascii="Times New Roman" w:hAnsi="Times New Roman" w:cs="Times New Roman"/>
          <w:sz w:val="24"/>
          <w:szCs w:val="24"/>
        </w:rPr>
        <w:t>constriction compared to controls.</w:t>
      </w:r>
    </w:p>
    <w:p w14:paraId="4584A163" w14:textId="7236251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 These analyses show the promise of pairing pupil</w:t>
      </w:r>
      <w:r w:rsidR="00EA772B">
        <w:rPr>
          <w:rFonts w:ascii="Times New Roman" w:hAnsi="Times New Roman" w:cs="Times New Roman"/>
          <w:sz w:val="24"/>
          <w:szCs w:val="24"/>
        </w:rPr>
        <w:t>lary</w:t>
      </w:r>
      <w:r>
        <w:rPr>
          <w:rFonts w:ascii="Times New Roman" w:hAnsi="Times New Roman" w:cs="Times New Roman"/>
          <w:sz w:val="24"/>
          <w:szCs w:val="24"/>
        </w:rPr>
        <w:t xml:space="preserve"> light response and functional data analysis methods to assess recent cannabis use.  </w:t>
      </w:r>
    </w:p>
    <w:p w14:paraId="0C302697" w14:textId="53B97BAA" w:rsidR="001C5766" w:rsidRDefault="001C5766" w:rsidP="001C5766">
      <w:pPr>
        <w:spacing w:line="480" w:lineRule="auto"/>
      </w:pPr>
      <w:r>
        <w:rPr>
          <w:rFonts w:ascii="Times New Roman" w:hAnsi="Times New Roman" w:cs="Times New Roman"/>
          <w:sz w:val="24"/>
          <w:szCs w:val="24"/>
        </w:rPr>
        <w:t>Practical Applications: Pupillary light response tests</w:t>
      </w:r>
      <w:r w:rsidR="006726C3">
        <w:rPr>
          <w:rFonts w:ascii="Times New Roman" w:hAnsi="Times New Roman" w:cs="Times New Roman"/>
          <w:sz w:val="24"/>
          <w:szCs w:val="24"/>
        </w:rPr>
        <w:t>,</w:t>
      </w:r>
      <w:r>
        <w:rPr>
          <w:rFonts w:ascii="Times New Roman" w:hAnsi="Times New Roman" w:cs="Times New Roman"/>
          <w:sz w:val="24"/>
          <w:szCs w:val="24"/>
        </w:rPr>
        <w:t xml:space="preserve"> when paired with functional data methods,</w:t>
      </w:r>
      <w:r w:rsidR="00382677">
        <w:rPr>
          <w:rFonts w:ascii="Times New Roman" w:hAnsi="Times New Roman" w:cs="Times New Roman"/>
          <w:sz w:val="24"/>
          <w:szCs w:val="24"/>
        </w:rPr>
        <w:t xml:space="preserve"> and future refinements in precision pupillometry,</w:t>
      </w:r>
      <w:r>
        <w:rPr>
          <w:rFonts w:ascii="Times New Roman" w:hAnsi="Times New Roman" w:cs="Times New Roman"/>
          <w:sz w:val="24"/>
          <w:szCs w:val="24"/>
        </w:rPr>
        <w:t xml:space="preserve"> may </w:t>
      </w:r>
      <w:r w:rsidR="00382677">
        <w:rPr>
          <w:rFonts w:ascii="Times New Roman" w:hAnsi="Times New Roman" w:cs="Times New Roman"/>
          <w:sz w:val="24"/>
          <w:szCs w:val="24"/>
        </w:rPr>
        <w:t xml:space="preserve">offer </w:t>
      </w:r>
      <w:r>
        <w:rPr>
          <w:rFonts w:ascii="Times New Roman" w:hAnsi="Times New Roman" w:cs="Times New Roman"/>
          <w:sz w:val="24"/>
          <w:szCs w:val="24"/>
        </w:rPr>
        <w:t>an objective measure of recent cannabis</w:t>
      </w:r>
      <w:r w:rsidR="00FE3859">
        <w:rPr>
          <w:rFonts w:ascii="Times New Roman" w:hAnsi="Times New Roman" w:cs="Times New Roman"/>
          <w:sz w:val="24"/>
          <w:szCs w:val="24"/>
        </w:rPr>
        <w:t xml:space="preserve"> consumption</w:t>
      </w:r>
      <w:r w:rsidR="00B8328C">
        <w:rPr>
          <w:rFonts w:ascii="Times New Roman" w:hAnsi="Times New Roman" w:cs="Times New Roman"/>
          <w:sz w:val="24"/>
          <w:szCs w:val="24"/>
        </w:rPr>
        <w:t>. With further refinement</w:t>
      </w:r>
      <w:r>
        <w:rPr>
          <w:rFonts w:ascii="Times New Roman" w:hAnsi="Times New Roman" w:cs="Times New Roman"/>
          <w:sz w:val="24"/>
          <w:szCs w:val="24"/>
        </w:rPr>
        <w:t>, this measure may help to address public health concerns around recent cannabis use, roadside safety and occupational injury prevention.</w:t>
      </w:r>
    </w:p>
    <w:bookmarkEnd w:id="1"/>
    <w:p w14:paraId="6B1BFF0D" w14:textId="07E6EDCD" w:rsidR="001C5766" w:rsidRDefault="001C5766"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abuse detection</w:t>
      </w:r>
    </w:p>
    <w:p w14:paraId="33237F90" w14:textId="2418EBD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3F6C2DA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1D73643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w:t>
      </w:r>
      <w:r>
        <w:rPr>
          <w:rFonts w:ascii="Times New Roman" w:hAnsi="Times New Roman" w:cs="Times New Roman"/>
          <w:sz w:val="24"/>
          <w:szCs w:val="24"/>
        </w:rPr>
        <w:lastRenderedPageBreak/>
        <w:t xml:space="preserve">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 </w:instrText>
      </w:r>
      <w:r w:rsidR="00C855DB"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EN.CITE.DATA </w:instrText>
      </w:r>
      <w:r w:rsidR="00C855DB" w:rsidRPr="000058B5">
        <w:rPr>
          <w:rFonts w:ascii="Times New Roman" w:hAnsi="Times New Roman" w:cs="Times New Roman"/>
          <w:sz w:val="24"/>
          <w:szCs w:val="24"/>
        </w:rPr>
      </w:r>
      <w:r w:rsidR="00C855DB" w:rsidRPr="000058B5">
        <w:rPr>
          <w:rFonts w:ascii="Times New Roman" w:hAnsi="Times New Roman" w:cs="Times New Roman"/>
          <w:sz w:val="24"/>
          <w:szCs w:val="24"/>
        </w:rPr>
        <w:fldChar w:fldCharType="end"/>
      </w:r>
      <w:r w:rsidRPr="000058B5">
        <w:rPr>
          <w:rFonts w:ascii="Times New Roman" w:hAnsi="Times New Roman" w:cs="Times New Roman"/>
          <w:sz w:val="24"/>
          <w:szCs w:val="24"/>
        </w:rPr>
      </w:r>
      <w:r w:rsidRPr="000058B5">
        <w:rPr>
          <w:rFonts w:ascii="Times New Roman" w:hAnsi="Times New Roman" w:cs="Times New Roman"/>
          <w:sz w:val="24"/>
          <w:szCs w:val="24"/>
        </w:rPr>
        <w:fldChar w:fldCharType="separate"/>
      </w:r>
      <w:r w:rsidR="00C855DB" w:rsidRPr="000058B5">
        <w:rPr>
          <w:rFonts w:ascii="Times New Roman" w:hAnsi="Times New Roman" w:cs="Times New Roman"/>
          <w:noProof/>
          <w:sz w:val="24"/>
          <w:szCs w:val="24"/>
        </w:rPr>
        <w:t>[9]</w:t>
      </w:r>
      <w:r w:rsidRPr="000058B5">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07F24982"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similar to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 xml:space="preserve">the pattern of pupillary </w:t>
      </w:r>
      <w:r w:rsidR="006718EF">
        <w:rPr>
          <w:rFonts w:ascii="Times New Roman" w:hAnsi="Times New Roman" w:cs="Times New Roman"/>
          <w:sz w:val="24"/>
          <w:szCs w:val="24"/>
        </w:rPr>
        <w:lastRenderedPageBreak/>
        <w:t>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27A531E5"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45BEFC9F"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t>
      </w:r>
      <w:r>
        <w:rPr>
          <w:rFonts w:ascii="Times New Roman" w:hAnsi="Times New Roman" w:cs="Times New Roman"/>
          <w:sz w:val="24"/>
          <w:szCs w:val="24"/>
        </w:rPr>
        <w:lastRenderedPageBreak/>
        <w:t xml:space="preserve">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314DEBF8" w14:textId="26DBF222" w:rsidR="00044C6B" w:rsidRDefault="00AC729D"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(sd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w:t>
      </w:r>
      <w:r>
        <w:rPr>
          <w:rFonts w:ascii="Times New Roman" w:hAnsi="Times New Roman" w:cs="Times New Roman"/>
          <w:sz w:val="24"/>
          <w:szCs w:val="24"/>
        </w:rPr>
        <w:lastRenderedPageBreak/>
        <w:t>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Kruskal-Wallis rank sum test; Pearson's Chi-squared test</w:t>
            </w:r>
          </w:p>
        </w:tc>
      </w:tr>
    </w:tbl>
    <w:p w14:paraId="26849CB8" w14:textId="40D60F0A" w:rsidR="009D3D8A" w:rsidRDefault="00CF0C87"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1D27E856" w14:textId="77C3625C"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Assessment</w:t>
      </w:r>
      <w:r>
        <w:rPr>
          <w:rFonts w:ascii="Times New Roman" w:hAnsi="Times New Roman" w:cs="Times New Roman"/>
          <w:sz w:val="24"/>
          <w:szCs w:val="24"/>
        </w:rPr>
        <w:t xml:space="preserve">: </w:t>
      </w:r>
    </w:p>
    <w:p w14:paraId="5101C573" w14:textId="1C6DBC39"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 xml:space="preserve">point of minimal </w:t>
      </w:r>
      <w:r>
        <w:rPr>
          <w:rFonts w:ascii="Times New Roman" w:hAnsi="Times New Roman" w:cs="Times New Roman"/>
          <w:i/>
          <w:iCs/>
          <w:sz w:val="24"/>
          <w:szCs w:val="24"/>
        </w:rPr>
        <w:lastRenderedPageBreak/>
        <w:t>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61E62BA2" w14:textId="5A6EFF37" w:rsidR="00C9294E" w:rsidRDefault="00BD0D18" w:rsidP="00C929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C20B4" wp14:editId="55FE7FEA">
            <wp:extent cx="5943600" cy="2639060"/>
            <wp:effectExtent l="0" t="0" r="0" b="8890"/>
            <wp:docPr id="102874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noFill/>
                    <a:ln>
                      <a:noFill/>
                    </a:ln>
                  </pic:spPr>
                </pic:pic>
              </a:graphicData>
            </a:graphic>
          </wp:inline>
        </w:drawing>
      </w:r>
    </w:p>
    <w:p w14:paraId="14AEE7FF" w14:textId="0BCF7A9F" w:rsidR="00C855DB" w:rsidRDefault="00C855DB" w:rsidP="00C9294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w:t>
      </w:r>
      <w:r w:rsidR="00C91B0D">
        <w:rPr>
          <w:rFonts w:ascii="Times New Roman" w:hAnsi="Times New Roman" w:cs="Times New Roman"/>
          <w:sz w:val="24"/>
          <w:szCs w:val="24"/>
        </w:rPr>
        <w:t xml:space="preserve">nder zero on the y-axis </w:t>
      </w:r>
      <w:r>
        <w:rPr>
          <w:rFonts w:ascii="Times New Roman" w:hAnsi="Times New Roman" w:cs="Times New Roman"/>
          <w:sz w:val="24"/>
          <w:szCs w:val="24"/>
        </w:rPr>
        <w:t xml:space="preserve">from the point of minimal constriction to the end of the light response test </w:t>
      </w:r>
      <w:r w:rsidR="00C91B0D">
        <w:rPr>
          <w:rFonts w:ascii="Times New Roman" w:hAnsi="Times New Roman" w:cs="Times New Roman"/>
          <w:sz w:val="24"/>
          <w:szCs w:val="24"/>
        </w:rPr>
        <w:t xml:space="preserve">is a measure of </w:t>
      </w:r>
      <w:r w:rsidR="00C91B0D" w:rsidRPr="008A2C55">
        <w:rPr>
          <w:rFonts w:ascii="Times New Roman" w:hAnsi="Times New Roman" w:cs="Times New Roman"/>
          <w:i/>
          <w:iCs/>
          <w:sz w:val="24"/>
          <w:szCs w:val="24"/>
        </w:rPr>
        <w:t xml:space="preserve">rebound </w:t>
      </w:r>
      <w:r w:rsidR="003324CE" w:rsidRPr="008A2C55">
        <w:rPr>
          <w:rFonts w:ascii="Times New Roman" w:hAnsi="Times New Roman" w:cs="Times New Roman"/>
          <w:i/>
          <w:iCs/>
          <w:sz w:val="24"/>
          <w:szCs w:val="24"/>
        </w:rPr>
        <w:t>dilation</w:t>
      </w:r>
      <w:r w:rsidR="003324CE">
        <w:rPr>
          <w:rFonts w:ascii="Times New Roman" w:hAnsi="Times New Roman" w:cs="Times New Roman"/>
          <w:sz w:val="24"/>
          <w:szCs w:val="24"/>
        </w:rPr>
        <w:t xml:space="preserve">. The </w:t>
      </w:r>
      <w:r w:rsidR="00010C31">
        <w:rPr>
          <w:rFonts w:ascii="Times New Roman" w:hAnsi="Times New Roman" w:cs="Times New Roman"/>
          <w:sz w:val="24"/>
          <w:szCs w:val="24"/>
        </w:rPr>
        <w:t>larger the magnitude of</w:t>
      </w:r>
      <w:r w:rsidR="003324CE">
        <w:rPr>
          <w:rFonts w:ascii="Times New Roman" w:hAnsi="Times New Roman" w:cs="Times New Roman"/>
          <w:sz w:val="24"/>
          <w:szCs w:val="24"/>
        </w:rPr>
        <w:t xml:space="preserve"> this area (</w:t>
      </w:r>
      <w:r w:rsidR="00AB2F61">
        <w:rPr>
          <w:rFonts w:ascii="Times New Roman" w:hAnsi="Times New Roman" w:cs="Times New Roman"/>
          <w:sz w:val="24"/>
          <w:szCs w:val="24"/>
        </w:rPr>
        <w:t xml:space="preserve">i.e. larger </w:t>
      </w:r>
      <w:r w:rsidR="003324CE">
        <w:rPr>
          <w:rFonts w:ascii="Times New Roman" w:hAnsi="Times New Roman" w:cs="Times New Roman"/>
          <w:sz w:val="24"/>
          <w:szCs w:val="24"/>
        </w:rPr>
        <w:t xml:space="preserve">shaded </w:t>
      </w:r>
      <w:r w:rsidR="008A2C55">
        <w:rPr>
          <w:rFonts w:ascii="Times New Roman" w:hAnsi="Times New Roman" w:cs="Times New Roman"/>
          <w:sz w:val="24"/>
          <w:szCs w:val="24"/>
        </w:rPr>
        <w:t>in Figure 1</w:t>
      </w:r>
      <w:r w:rsidR="003324CE">
        <w:rPr>
          <w:rFonts w:ascii="Times New Roman" w:hAnsi="Times New Roman" w:cs="Times New Roman"/>
          <w:sz w:val="24"/>
          <w:szCs w:val="24"/>
        </w:rPr>
        <w:t xml:space="preserve">), the </w:t>
      </w:r>
      <w:r w:rsidR="00AB2F61">
        <w:rPr>
          <w:rFonts w:ascii="Times New Roman" w:hAnsi="Times New Roman" w:cs="Times New Roman"/>
          <w:sz w:val="24"/>
          <w:szCs w:val="24"/>
        </w:rPr>
        <w:t>less</w:t>
      </w:r>
      <w:r w:rsidR="003324CE">
        <w:rPr>
          <w:rFonts w:ascii="Times New Roman" w:hAnsi="Times New Roman" w:cs="Times New Roman"/>
          <w:sz w:val="24"/>
          <w:szCs w:val="24"/>
        </w:rPr>
        <w:t xml:space="preserve"> rebound dilation that has occurred.</w:t>
      </w:r>
    </w:p>
    <w:p w14:paraId="1EA71168" w14:textId="0FB4987D"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r w:rsidR="000B03FA">
        <w:rPr>
          <w:rFonts w:ascii="Times New Roman" w:hAnsi="Times New Roman" w:cs="Times New Roman"/>
          <w:sz w:val="24"/>
          <w:szCs w:val="24"/>
          <w:vertAlign w:val="superscript"/>
        </w:rPr>
        <w:t xml:space="preserve"> 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in pupil size from the start of the light test, for the right eye, after cannabis </w:t>
      </w:r>
      <w:r>
        <w:rPr>
          <w:rFonts w:ascii="Times New Roman" w:hAnsi="Times New Roman" w:cs="Times New Roman"/>
          <w:sz w:val="24"/>
          <w:szCs w:val="24"/>
        </w:rPr>
        <w:lastRenderedPageBreak/>
        <w:t>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4E0B693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(e.g.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patterns 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r w:rsidR="00AF5549">
        <w:rPr>
          <w:rFonts w:ascii="Times New Roman" w:hAnsi="Times New Roman" w:cs="Times New Roman"/>
          <w:sz w:val="24"/>
          <w:szCs w:val="24"/>
        </w:rPr>
        <w:t xml:space="preserve">whether or not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w:t>
      </w:r>
      <w:r>
        <w:rPr>
          <w:rFonts w:ascii="Times New Roman" w:hAnsi="Times New Roman" w:cs="Times New Roman"/>
          <w:sz w:val="24"/>
          <w:szCs w:val="24"/>
        </w:rPr>
        <w:lastRenderedPageBreak/>
        <w:t>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log</w:t>
      </w:r>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2A80333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w:t>
      </w:r>
      <w:r>
        <w:rPr>
          <w:rFonts w:ascii="Times New Roman" w:hAnsi="Times New Roman" w:cs="Times New Roman"/>
          <w:sz w:val="24"/>
          <w:szCs w:val="24"/>
        </w:rPr>
        <w:lastRenderedPageBreak/>
        <w:t xml:space="preserve">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(FoSR)</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FoSR</w:t>
      </w:r>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(e.g.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FoSR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r w:rsidRPr="00FC19C7">
        <w:rPr>
          <w:rFonts w:ascii="Times New Roman" w:hAnsi="Times New Roman" w:cs="Times New Roman"/>
          <w:i/>
          <w:iCs/>
          <w:sz w:val="24"/>
          <w:szCs w:val="24"/>
        </w:rPr>
        <w:t>I(use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FoSR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FoSR</w:t>
      </w:r>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The R packages mgcv</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FoSR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141E22C9" w14:textId="749CDD2F"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DE3987" wp14:editId="721EF571">
            <wp:extent cx="5943600" cy="2971800"/>
            <wp:effectExtent l="0" t="0" r="0" b="0"/>
            <wp:docPr id="2095911585" name="Picture 209591158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1585" name="Picture 2095911585" descr="A picture containing text, diagram, line,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AA2728" w14:textId="20E541EF"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(LogRegr)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(FoSR)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4A736937"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08CCC8D1" w14:textId="44F76705" w:rsidR="00C855DB" w:rsidRDefault="00510F15" w:rsidP="00C855DB">
      <w:pPr>
        <w:spacing w:line="480" w:lineRule="auto"/>
        <w:rPr>
          <w:rFonts w:ascii="Times New Roman" w:hAnsi="Times New Roman" w:cs="Times New Roman"/>
          <w:sz w:val="24"/>
          <w:szCs w:val="24"/>
        </w:rPr>
      </w:pPr>
      <w:r>
        <w:rPr>
          <w:noProof/>
        </w:rPr>
        <w:lastRenderedPageBreak/>
        <w:drawing>
          <wp:inline distT="0" distB="0" distL="0" distR="0" wp14:anchorId="56C1B250" wp14:editId="1240E6A2">
            <wp:extent cx="5943600" cy="3169920"/>
            <wp:effectExtent l="0" t="0" r="0" b="0"/>
            <wp:docPr id="9256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r w:rsidR="00C855DB">
        <w:rPr>
          <w:rFonts w:ascii="Times New Roman" w:hAnsi="Times New Roman" w:cs="Times New Roman"/>
          <w:sz w:val="24"/>
          <w:szCs w:val="24"/>
        </w:rPr>
        <w:t>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w:t>
      </w:r>
      <w:r w:rsidR="006D7FDC">
        <w:rPr>
          <w:rFonts w:ascii="Times New Roman" w:hAnsi="Times New Roman" w:cs="Times New Roman"/>
          <w:sz w:val="24"/>
          <w:szCs w:val="24"/>
        </w:rPr>
        <w:t>s</w:t>
      </w:r>
      <w:r w:rsidR="00C855DB">
        <w:rPr>
          <w:rFonts w:ascii="Times New Roman" w:hAnsi="Times New Roman" w:cs="Times New Roman"/>
          <w:sz w:val="24"/>
          <w:szCs w:val="24"/>
        </w:rPr>
        <w:t xml:space="preserve"> B</w:t>
      </w:r>
      <w:r w:rsidR="006D7FDC">
        <w:rPr>
          <w:rFonts w:ascii="Times New Roman" w:hAnsi="Times New Roman" w:cs="Times New Roman"/>
          <w:sz w:val="24"/>
          <w:szCs w:val="24"/>
        </w:rPr>
        <w:t xml:space="preserve"> - D</w:t>
      </w:r>
      <w:r w:rsidR="00C855DB">
        <w:rPr>
          <w:rFonts w:ascii="Times New Roman" w:hAnsi="Times New Roman" w:cs="Times New Roman"/>
          <w:sz w:val="24"/>
          <w:szCs w:val="24"/>
        </w:rPr>
        <w:t xml:space="preserve"> show the difference in average trajectories between pairs of occasional, daily and no-use of cannabis. </w:t>
      </w:r>
      <w:r w:rsidR="006D7FDC">
        <w:rPr>
          <w:rFonts w:ascii="Times New Roman" w:hAnsi="Times New Roman" w:cs="Times New Roman"/>
          <w:sz w:val="24"/>
          <w:szCs w:val="24"/>
        </w:rPr>
        <w:t xml:space="preserve">Zero on the y-axis corresponds to no </w:t>
      </w:r>
      <w:r w:rsidR="00C855DB">
        <w:rPr>
          <w:rFonts w:ascii="Times New Roman" w:hAnsi="Times New Roman" w:cs="Times New Roman"/>
          <w:sz w:val="24"/>
          <w:szCs w:val="24"/>
        </w:rPr>
        <w:t>difference between the average trajectory of two groups, while</w:t>
      </w:r>
      <w:r w:rsidR="006D7FDC">
        <w:rPr>
          <w:rFonts w:ascii="Times New Roman" w:hAnsi="Times New Roman" w:cs="Times New Roman"/>
          <w:sz w:val="24"/>
          <w:szCs w:val="24"/>
        </w:rPr>
        <w:t xml:space="preserve"> the</w:t>
      </w:r>
      <w:r w:rsidR="00C855DB">
        <w:rPr>
          <w:rFonts w:ascii="Times New Roman" w:hAnsi="Times New Roman" w:cs="Times New Roman"/>
          <w:sz w:val="24"/>
          <w:szCs w:val="24"/>
        </w:rPr>
        <w:t xml:space="preserve"> region </w:t>
      </w:r>
      <w:r w:rsidR="006D7FDC">
        <w:rPr>
          <w:rFonts w:ascii="Times New Roman" w:hAnsi="Times New Roman" w:cs="Times New Roman"/>
          <w:sz w:val="24"/>
          <w:szCs w:val="24"/>
        </w:rPr>
        <w:t xml:space="preserve">indicated by the solid red line, </w:t>
      </w:r>
      <w:r w:rsidR="00C855DB">
        <w:rPr>
          <w:rFonts w:ascii="Times New Roman" w:hAnsi="Times New Roman" w:cs="Times New Roman"/>
          <w:sz w:val="24"/>
          <w:szCs w:val="24"/>
        </w:rPr>
        <w:t xml:space="preserve">where the confidence interval (both dashed lines) is above or below </w:t>
      </w:r>
      <w:r w:rsidR="006D7FDC">
        <w:rPr>
          <w:rFonts w:ascii="Times New Roman" w:hAnsi="Times New Roman" w:cs="Times New Roman"/>
          <w:sz w:val="24"/>
          <w:szCs w:val="24"/>
        </w:rPr>
        <w:t>zero on the y-axis</w:t>
      </w:r>
      <w:r w:rsidR="00C855DB">
        <w:rPr>
          <w:rFonts w:ascii="Times New Roman" w:hAnsi="Times New Roman" w:cs="Times New Roman"/>
          <w:sz w:val="24"/>
          <w:szCs w:val="24"/>
        </w:rPr>
        <w:t xml:space="preserve">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5D70F30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(sd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78E4264D" w14:textId="080265F5"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E2478" wp14:editId="3B818B7F">
            <wp:extent cx="5943600" cy="2971800"/>
            <wp:effectExtent l="0" t="0" r="0" b="0"/>
            <wp:docPr id="866691937" name="Picture 866691937"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1937" name="Picture 866691937"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38E5B9" w14:textId="5D6E5F37"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xml:space="preserve">: Differences in the average pupil light response as the time from cannabis </w:t>
      </w:r>
      <w:r w:rsidR="00A63DC2">
        <w:rPr>
          <w:rFonts w:ascii="Times New Roman" w:hAnsi="Times New Roman" w:cs="Times New Roman"/>
          <w:sz w:val="24"/>
          <w:szCs w:val="24"/>
        </w:rPr>
        <w:t xml:space="preserve">smoking </w:t>
      </w:r>
      <w:r>
        <w:rPr>
          <w:rFonts w:ascii="Times New Roman" w:hAnsi="Times New Roman" w:cs="Times New Roman"/>
          <w:sz w:val="24"/>
          <w:szCs w:val="24"/>
        </w:rPr>
        <w:t xml:space="preserve">increases from 60 minutes to 70 minutes (lighter color). The purple line shows the average pupil response for the no use group. </w:t>
      </w:r>
      <w:r>
        <w:rPr>
          <w:rFonts w:ascii="Times New Roman" w:hAnsi="Times New Roman" w:cs="Times New Roman"/>
          <w:sz w:val="24"/>
          <w:szCs w:val="24"/>
        </w:rPr>
        <w:lastRenderedPageBreak/>
        <w:t>As time since cannabis consumption increases, the point of minimal constriction approaches that of the no use group while the slope of the rebound appears to remain distinct.</w:t>
      </w: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11DC32"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 xml:space="preserve">pupil </w:t>
      </w:r>
      <w:r w:rsidR="004C214C">
        <w:rPr>
          <w:rFonts w:ascii="Times New Roman" w:hAnsi="Times New Roman" w:cs="Times New Roman"/>
          <w:sz w:val="24"/>
          <w:szCs w:val="24"/>
        </w:rPr>
        <w:t xml:space="preserve">dilation is associated with lower </w:t>
      </w:r>
      <w:r w:rsidR="004C214C">
        <w:rPr>
          <w:rFonts w:ascii="Times New Roman" w:hAnsi="Times New Roman" w:cs="Times New Roman"/>
          <w:sz w:val="24"/>
          <w:szCs w:val="24"/>
        </w:rPr>
        <w:lastRenderedPageBreak/>
        <w:t xml:space="preserve">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244CBA42"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w:t>
      </w:r>
      <w:r w:rsidR="00AC729D">
        <w:rPr>
          <w:rFonts w:ascii="Times New Roman" w:hAnsi="Times New Roman" w:cs="Times New Roman"/>
          <w:sz w:val="24"/>
          <w:szCs w:val="24"/>
        </w:rPr>
        <w:lastRenderedPageBreak/>
        <w:t xml:space="preserve">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r w:rsidR="00AA31AD">
        <w:rPr>
          <w:rFonts w:ascii="Times New Roman" w:hAnsi="Times New Roman" w:cs="Times New Roman"/>
          <w:sz w:val="24"/>
          <w:szCs w:val="24"/>
        </w:rPr>
        <w:t>non standardized</w:t>
      </w:r>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r w:rsidR="00A5219A">
        <w:rPr>
          <w:rFonts w:ascii="Times New Roman" w:hAnsi="Times New Roman" w:cs="Times New Roman"/>
          <w:sz w:val="24"/>
          <w:szCs w:val="24"/>
        </w:rPr>
        <w:t>In light of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76BFF4D" w14:textId="318CA35B" w:rsidR="00655D61" w:rsidRPr="00655D61" w:rsidRDefault="00AC729D" w:rsidP="00B50533">
      <w:pPr>
        <w:pStyle w:val="EndNoteBibliography"/>
      </w:pPr>
      <w:r w:rsidRPr="00C855DB">
        <w:rPr>
          <w:rFonts w:ascii="Times New Roman" w:hAnsi="Times New Roman" w:cs="Times New Roman"/>
          <w:sz w:val="24"/>
          <w:szCs w:val="24"/>
        </w:rPr>
        <w:fldChar w:fldCharType="begin"/>
      </w:r>
      <w:r w:rsidRPr="00C855DB">
        <w:rPr>
          <w:rFonts w:ascii="Times New Roman" w:hAnsi="Times New Roman" w:cs="Times New Roman"/>
          <w:sz w:val="24"/>
          <w:szCs w:val="24"/>
        </w:rPr>
        <w:instrText xml:space="preserve"> ADDIN EN.REFLIST </w:instrText>
      </w:r>
      <w:r w:rsidRPr="00C855DB">
        <w:rPr>
          <w:rFonts w:ascii="Times New Roman" w:hAnsi="Times New Roman" w:cs="Times New Roman"/>
          <w:sz w:val="24"/>
          <w:szCs w:val="24"/>
        </w:rPr>
        <w:fldChar w:fldCharType="separate"/>
      </w:r>
      <w:r w:rsidR="00655D61" w:rsidRPr="00655D61">
        <w:t>1.</w:t>
      </w:r>
      <w:r w:rsidR="00655D61" w:rsidRPr="00655D61">
        <w:tab/>
        <w:t>Substance Abuse and Mental Health Services Administration. Key Substance Use and Mental Health Indicators in the United States:</w:t>
      </w:r>
      <w:r w:rsidR="00B50533">
        <w:t xml:space="preserve"> </w:t>
      </w:r>
      <w:r w:rsidR="00655D61" w:rsidRPr="00655D61">
        <w:t>Results from the 2017 National Survey on Drug Use and Health. In: Administration SAaMHS, editor. 2018.</w:t>
      </w:r>
    </w:p>
    <w:p w14:paraId="2BF7EF78" w14:textId="234BC960" w:rsidR="00655D61" w:rsidRPr="00655D61" w:rsidRDefault="00655D61" w:rsidP="00655D61">
      <w:pPr>
        <w:pStyle w:val="EndNoteBibliography"/>
        <w:spacing w:after="0"/>
      </w:pPr>
      <w:r w:rsidRPr="00655D61">
        <w:t>2.</w:t>
      </w:r>
      <w:r w:rsidRPr="00655D61">
        <w:tab/>
        <w:t xml:space="preserve">Lira M.C., Heeren T.C., Buczek M., Blanchette J.G., Smart R., Pacula R.L., Naimi T.S. Trends in Cannabis Involvement and Risk of Alcohol Involvement in Motor Vehicle Crash Fatalities in the United States, 2000‒2018. </w:t>
      </w:r>
      <w:r w:rsidRPr="00655D61">
        <w:rPr>
          <w:i/>
        </w:rPr>
        <w:t>Am J Public Health</w:t>
      </w:r>
      <w:r w:rsidRPr="00655D61">
        <w:t xml:space="preserve">. </w:t>
      </w:r>
      <w:r w:rsidRPr="00655D61">
        <w:rPr>
          <w:b/>
        </w:rPr>
        <w:t>2021</w:t>
      </w:r>
      <w:r w:rsidRPr="00655D61">
        <w:t xml:space="preserve">, 111, 1976-85. </w:t>
      </w:r>
      <w:hyperlink r:id="rId11" w:history="1">
        <w:r w:rsidRPr="00655D61">
          <w:rPr>
            <w:rStyle w:val="Hyperlink"/>
          </w:rPr>
          <w:t>https://doi.org/10.2105/AJPH.2021.306466</w:t>
        </w:r>
      </w:hyperlink>
    </w:p>
    <w:p w14:paraId="6B6877DB" w14:textId="3B2C48B5" w:rsidR="00655D61" w:rsidRPr="00655D61" w:rsidRDefault="00655D61" w:rsidP="00655D61">
      <w:pPr>
        <w:pStyle w:val="EndNoteBibliography"/>
        <w:spacing w:after="0"/>
      </w:pPr>
      <w:r w:rsidRPr="00655D61">
        <w:t>3.</w:t>
      </w:r>
      <w:r w:rsidRPr="00655D61">
        <w:tab/>
        <w:t xml:space="preserve">Biasutti W.R., Leffers K.S.H., Callaghan R.C. Systematic Review of Cannabis Use and Risk of Occupational Injury. </w:t>
      </w:r>
      <w:r w:rsidRPr="00655D61">
        <w:rPr>
          <w:i/>
        </w:rPr>
        <w:t>Subst Use Misuse</w:t>
      </w:r>
      <w:r w:rsidRPr="00655D61">
        <w:t xml:space="preserve">. </w:t>
      </w:r>
      <w:r w:rsidRPr="00655D61">
        <w:rPr>
          <w:b/>
        </w:rPr>
        <w:t>2020</w:t>
      </w:r>
      <w:r w:rsidRPr="00655D61">
        <w:t xml:space="preserve">, 55, 1733-45. </w:t>
      </w:r>
      <w:hyperlink r:id="rId12" w:history="1">
        <w:r w:rsidRPr="00655D61">
          <w:rPr>
            <w:rStyle w:val="Hyperlink"/>
          </w:rPr>
          <w:t>https://doi.org/10.1080/10826084.2020.1759643</w:t>
        </w:r>
      </w:hyperlink>
    </w:p>
    <w:p w14:paraId="07EA4600" w14:textId="7B8A9255" w:rsidR="00655D61" w:rsidRPr="00655D61" w:rsidRDefault="00655D61" w:rsidP="00655D61">
      <w:pPr>
        <w:pStyle w:val="EndNoteBibliography"/>
        <w:spacing w:after="0"/>
      </w:pPr>
      <w:r w:rsidRPr="00655D61">
        <w:t>4.</w:t>
      </w:r>
      <w:r w:rsidRPr="00655D61">
        <w:tab/>
        <w:t xml:space="preserve">Zhang J.C., Carnide N., Holness L., Cram P. Cannabis use and work-related injuries: a cross-sectional analysis. </w:t>
      </w:r>
      <w:r w:rsidRPr="00655D61">
        <w:rPr>
          <w:i/>
        </w:rPr>
        <w:t>Occup Med (Lond)</w:t>
      </w:r>
      <w:r w:rsidRPr="00655D61">
        <w:t xml:space="preserve">. </w:t>
      </w:r>
      <w:r w:rsidRPr="00655D61">
        <w:rPr>
          <w:b/>
        </w:rPr>
        <w:t>2020</w:t>
      </w:r>
      <w:r w:rsidRPr="00655D61">
        <w:t xml:space="preserve">, 70, 570-7. </w:t>
      </w:r>
      <w:hyperlink r:id="rId13" w:history="1">
        <w:r w:rsidRPr="00655D61">
          <w:rPr>
            <w:rStyle w:val="Hyperlink"/>
          </w:rPr>
          <w:t>https://doi.org/10.1093/occmed/kqaa175</w:t>
        </w:r>
      </w:hyperlink>
    </w:p>
    <w:p w14:paraId="7172D0B4" w14:textId="326620D2" w:rsidR="00655D61" w:rsidRPr="00655D61" w:rsidRDefault="00655D61" w:rsidP="00655D61">
      <w:pPr>
        <w:pStyle w:val="EndNoteBibliography"/>
        <w:spacing w:after="0"/>
      </w:pPr>
      <w:r w:rsidRPr="00655D61">
        <w:t>5.</w:t>
      </w:r>
      <w:r w:rsidRPr="00655D61">
        <w:tab/>
        <w:t xml:space="preserve">Administration N.H.T.S. DWI Detection and Standardized Field Sobriety Test (SFST) Resources  [Available from: </w:t>
      </w:r>
      <w:hyperlink r:id="rId14" w:history="1">
        <w:r w:rsidRPr="00655D61">
          <w:rPr>
            <w:rStyle w:val="Hyperlink"/>
          </w:rPr>
          <w:t>https://www.nhtsa.gov/dwi-detection-and-standardized-field-sobriety-test-sfst-resources</w:t>
        </w:r>
      </w:hyperlink>
      <w:r w:rsidRPr="00655D61">
        <w:t>.</w:t>
      </w:r>
    </w:p>
    <w:p w14:paraId="16BAF7A4" w14:textId="519BE4C2" w:rsidR="00655D61" w:rsidRPr="00655D61" w:rsidRDefault="00655D61" w:rsidP="00655D61">
      <w:pPr>
        <w:pStyle w:val="EndNoteBibliography"/>
        <w:spacing w:after="0"/>
      </w:pPr>
      <w:r w:rsidRPr="00655D61">
        <w:t>6.</w:t>
      </w:r>
      <w:r w:rsidRPr="00655D61">
        <w:tab/>
        <w:t xml:space="preserve">Downey L.A., King R., Papafotiou K., Swann P., Ogden E., Boorman M., Stough C. Detecting impairment associated with cannabis with and without alcohol on the Standardized Field Sobriety Tests. </w:t>
      </w:r>
      <w:r w:rsidRPr="00655D61">
        <w:rPr>
          <w:i/>
        </w:rPr>
        <w:t>Psychopharmacology (Berl)</w:t>
      </w:r>
      <w:r w:rsidRPr="00655D61">
        <w:t xml:space="preserve">. </w:t>
      </w:r>
      <w:r w:rsidRPr="00655D61">
        <w:rPr>
          <w:b/>
        </w:rPr>
        <w:t>2012</w:t>
      </w:r>
      <w:r w:rsidRPr="00655D61">
        <w:t xml:space="preserve">, 224, 581-9. </w:t>
      </w:r>
      <w:hyperlink r:id="rId15" w:history="1">
        <w:r w:rsidRPr="00655D61">
          <w:rPr>
            <w:rStyle w:val="Hyperlink"/>
          </w:rPr>
          <w:t>https://doi.org/10.1007/s00213-012-2787-9</w:t>
        </w:r>
      </w:hyperlink>
    </w:p>
    <w:p w14:paraId="0C230B71" w14:textId="097592C4" w:rsidR="00655D61" w:rsidRPr="00655D61" w:rsidRDefault="00655D61" w:rsidP="00655D61">
      <w:pPr>
        <w:pStyle w:val="EndNoteBibliography"/>
        <w:spacing w:after="0"/>
      </w:pPr>
      <w:r w:rsidRPr="00655D61">
        <w:t>7.</w:t>
      </w:r>
      <w:r w:rsidRPr="00655D61">
        <w:tab/>
        <w:t xml:space="preserve">Arkell T.R., Spindle T.R., Kevin R.C., Vandrey R., McGregor I.S. The failings of per se limits to detect cannabis-induced driving impairment: Results from a simulated driving study. </w:t>
      </w:r>
      <w:r w:rsidRPr="00655D61">
        <w:rPr>
          <w:i/>
        </w:rPr>
        <w:t>Traffic Inj Prev</w:t>
      </w:r>
      <w:r w:rsidRPr="00655D61">
        <w:t xml:space="preserve">. </w:t>
      </w:r>
      <w:r w:rsidRPr="00655D61">
        <w:rPr>
          <w:b/>
        </w:rPr>
        <w:t>2021</w:t>
      </w:r>
      <w:r w:rsidRPr="00655D61">
        <w:t xml:space="preserve">, 22, 102-7. </w:t>
      </w:r>
      <w:hyperlink r:id="rId16" w:history="1">
        <w:r w:rsidRPr="00655D61">
          <w:rPr>
            <w:rStyle w:val="Hyperlink"/>
          </w:rPr>
          <w:t>https://doi.org/10.1080/15389588.2020.1851685</w:t>
        </w:r>
      </w:hyperlink>
    </w:p>
    <w:p w14:paraId="345F17A4" w14:textId="32FDF527" w:rsidR="00655D61" w:rsidRPr="00655D61" w:rsidRDefault="00655D61" w:rsidP="00655D61">
      <w:pPr>
        <w:pStyle w:val="EndNoteBibliography"/>
        <w:spacing w:after="0"/>
      </w:pPr>
      <w:r w:rsidRPr="00655D61">
        <w:t>8.</w:t>
      </w:r>
      <w:r w:rsidRPr="00655D61">
        <w:tab/>
        <w:t xml:space="preserve">Wurz G.T., DeGregorio M.W. Indeterminacy of cannabis impairment and ∆(9)-tetrahydrocannabinol (∆(9)-THC) levels in blood and breath. </w:t>
      </w:r>
      <w:r w:rsidRPr="00655D61">
        <w:rPr>
          <w:i/>
        </w:rPr>
        <w:t>Sci Rep</w:t>
      </w:r>
      <w:r w:rsidRPr="00655D61">
        <w:t xml:space="preserve">. </w:t>
      </w:r>
      <w:r w:rsidRPr="00655D61">
        <w:rPr>
          <w:b/>
        </w:rPr>
        <w:t>2022</w:t>
      </w:r>
      <w:r w:rsidRPr="00655D61">
        <w:t xml:space="preserve">, 12, 8323. </w:t>
      </w:r>
      <w:hyperlink r:id="rId17" w:history="1">
        <w:r w:rsidRPr="00655D61">
          <w:rPr>
            <w:rStyle w:val="Hyperlink"/>
          </w:rPr>
          <w:t>https://doi.org/10.1038/s41598-022-11481-5</w:t>
        </w:r>
      </w:hyperlink>
    </w:p>
    <w:p w14:paraId="6E271671" w14:textId="5C7A90E5" w:rsidR="00655D61" w:rsidRPr="00655D61" w:rsidRDefault="00655D61" w:rsidP="00655D61">
      <w:pPr>
        <w:pStyle w:val="EndNoteBibliography"/>
        <w:spacing w:after="0"/>
      </w:pPr>
      <w:r w:rsidRPr="00655D61">
        <w:t>9.</w:t>
      </w:r>
      <w:r w:rsidRPr="00655D61">
        <w:tab/>
        <w:t xml:space="preserve">Burt T.S., Brown T.L., Milavetz G., McGehee D.V. Mechanisms of cannabis impairment: Implications for modeling driving performance. </w:t>
      </w:r>
      <w:r w:rsidRPr="00655D61">
        <w:rPr>
          <w:i/>
        </w:rPr>
        <w:t>Forensic Sci Int</w:t>
      </w:r>
      <w:r w:rsidRPr="00655D61">
        <w:t xml:space="preserve">. </w:t>
      </w:r>
      <w:r w:rsidRPr="00655D61">
        <w:rPr>
          <w:b/>
        </w:rPr>
        <w:t>2021</w:t>
      </w:r>
      <w:r w:rsidRPr="00655D61">
        <w:t xml:space="preserve">, 328, 110902. </w:t>
      </w:r>
      <w:hyperlink r:id="rId18" w:history="1">
        <w:r w:rsidRPr="00655D61">
          <w:rPr>
            <w:rStyle w:val="Hyperlink"/>
          </w:rPr>
          <w:t>https://doi.org/10.1016/j.forsciint.2021.110902</w:t>
        </w:r>
      </w:hyperlink>
    </w:p>
    <w:p w14:paraId="61D311D5" w14:textId="203C5A46" w:rsidR="00655D61" w:rsidRPr="00655D61" w:rsidRDefault="00655D61" w:rsidP="00655D61">
      <w:pPr>
        <w:pStyle w:val="EndNoteBibliography"/>
        <w:spacing w:after="0"/>
      </w:pPr>
      <w:r w:rsidRPr="00655D61">
        <w:t>10.</w:t>
      </w:r>
      <w:r w:rsidRPr="00655D61">
        <w:tab/>
        <w:t xml:space="preserve">Richman J.E., McAndrew K.G., Decker D., Mullaney S.C. An evaluation of pupil size standards used by police officers for detecting drug impairment. </w:t>
      </w:r>
      <w:r w:rsidRPr="00655D61">
        <w:rPr>
          <w:i/>
        </w:rPr>
        <w:t>Optometry</w:t>
      </w:r>
      <w:r w:rsidRPr="00655D61">
        <w:t xml:space="preserve">. </w:t>
      </w:r>
      <w:r w:rsidRPr="00655D61">
        <w:rPr>
          <w:b/>
        </w:rPr>
        <w:t>2004</w:t>
      </w:r>
      <w:r w:rsidRPr="00655D61">
        <w:t xml:space="preserve">, 75, 175-82. </w:t>
      </w:r>
      <w:hyperlink r:id="rId19" w:history="1">
        <w:r w:rsidRPr="00655D61">
          <w:rPr>
            <w:rStyle w:val="Hyperlink"/>
          </w:rPr>
          <w:t>https://doi.org/10.1016/s1529-1839(04)70037-8</w:t>
        </w:r>
      </w:hyperlink>
    </w:p>
    <w:p w14:paraId="75FDC4E9" w14:textId="77777777" w:rsidR="00655D61" w:rsidRPr="00655D61" w:rsidRDefault="00655D61" w:rsidP="00655D61">
      <w:pPr>
        <w:pStyle w:val="EndNoteBibliography"/>
        <w:spacing w:after="0"/>
      </w:pPr>
      <w:r w:rsidRPr="00655D61">
        <w:t>11.</w:t>
      </w:r>
      <w:r w:rsidRPr="00655D61">
        <w:tab/>
        <w:t>National Highway Traffic Safety Administration, Police I.A.o.C.o. Drug Evaluation and Classification (Preliminary School). 2015.</w:t>
      </w:r>
    </w:p>
    <w:p w14:paraId="388757CF" w14:textId="52A7CF60" w:rsidR="00655D61" w:rsidRPr="00655D61" w:rsidRDefault="00655D61" w:rsidP="00655D61">
      <w:pPr>
        <w:pStyle w:val="EndNoteBibliography"/>
        <w:spacing w:after="0"/>
      </w:pPr>
      <w:r w:rsidRPr="00655D61">
        <w:t>12.</w:t>
      </w:r>
      <w:r w:rsidRPr="00655D61">
        <w:tab/>
        <w:t xml:space="preserve">Campobasso C.P., De Micco F., Corbi G., Keller T., Hartung B., Daldrup T., Monticelli F. Pupillary effects in habitual cannabis consumers quantified with pupillography. </w:t>
      </w:r>
      <w:r w:rsidRPr="00655D61">
        <w:rPr>
          <w:i/>
        </w:rPr>
        <w:t>Forensic Sci Int</w:t>
      </w:r>
      <w:r w:rsidRPr="00655D61">
        <w:t xml:space="preserve">. </w:t>
      </w:r>
      <w:r w:rsidRPr="00655D61">
        <w:rPr>
          <w:b/>
        </w:rPr>
        <w:t>2020</w:t>
      </w:r>
      <w:r w:rsidRPr="00655D61">
        <w:t xml:space="preserve">, 317, 110559. </w:t>
      </w:r>
      <w:hyperlink r:id="rId20" w:history="1">
        <w:r w:rsidRPr="00655D61">
          <w:rPr>
            <w:rStyle w:val="Hyperlink"/>
          </w:rPr>
          <w:t>https://doi.org/10.1016/j.forsciint.2020.110559</w:t>
        </w:r>
      </w:hyperlink>
    </w:p>
    <w:p w14:paraId="4C912022" w14:textId="77777777" w:rsidR="00655D61" w:rsidRPr="00655D61" w:rsidRDefault="00655D61" w:rsidP="00655D61">
      <w:pPr>
        <w:pStyle w:val="EndNoteBibliography"/>
        <w:spacing w:after="0"/>
      </w:pPr>
      <w:r w:rsidRPr="00655D61">
        <w:t>13.</w:t>
      </w:r>
      <w:r w:rsidRPr="00655D61">
        <w:tab/>
        <w:t xml:space="preserve">Fant R.V., Heishman S.J., Bunker E.B., Pickworth W.B. Acute Residual Effects of Marijuana in Humans. </w:t>
      </w:r>
      <w:r w:rsidRPr="00655D61">
        <w:rPr>
          <w:i/>
        </w:rPr>
        <w:t>Pharmacology Biochemistry and Behavior</w:t>
      </w:r>
      <w:r w:rsidRPr="00655D61">
        <w:t xml:space="preserve">. </w:t>
      </w:r>
      <w:r w:rsidRPr="00655D61">
        <w:rPr>
          <w:b/>
        </w:rPr>
        <w:t>1998</w:t>
      </w:r>
      <w:r w:rsidRPr="00655D61">
        <w:t xml:space="preserve">, 60, 777-84. </w:t>
      </w:r>
    </w:p>
    <w:p w14:paraId="6F3F4268" w14:textId="47179ACF" w:rsidR="00655D61" w:rsidRPr="00655D61" w:rsidRDefault="00655D61" w:rsidP="00655D61">
      <w:pPr>
        <w:pStyle w:val="EndNoteBibliography"/>
        <w:spacing w:after="0"/>
      </w:pPr>
      <w:r w:rsidRPr="00655D61">
        <w:t>14.</w:t>
      </w:r>
      <w:r w:rsidRPr="00655D61">
        <w:tab/>
        <w:t xml:space="preserve">Steinhart B., Brooks-Russell A., Kosnett M.J., Subramanian P.S., Wrobel J. A Video Segmentation Pipeline for Assessing changes in Pupil Response to Light After Cannabis Consumption. </w:t>
      </w:r>
      <w:r w:rsidRPr="00655D61">
        <w:rPr>
          <w:i/>
        </w:rPr>
        <w:t>bioRxiv</w:t>
      </w:r>
      <w:r w:rsidRPr="00655D61">
        <w:t xml:space="preserve">. </w:t>
      </w:r>
      <w:r w:rsidRPr="00655D61">
        <w:rPr>
          <w:b/>
        </w:rPr>
        <w:t>2023</w:t>
      </w:r>
      <w:r w:rsidRPr="00655D61">
        <w:t xml:space="preserve">. </w:t>
      </w:r>
      <w:hyperlink r:id="rId21" w:history="1">
        <w:r w:rsidRPr="00655D61">
          <w:rPr>
            <w:rStyle w:val="Hyperlink"/>
          </w:rPr>
          <w:t>https://doi.org/10.1101/2023.03.17.533144</w:t>
        </w:r>
      </w:hyperlink>
    </w:p>
    <w:p w14:paraId="3E93F86D" w14:textId="56CFC6B1" w:rsidR="00655D61" w:rsidRPr="00655D61" w:rsidRDefault="00655D61" w:rsidP="00655D61">
      <w:pPr>
        <w:pStyle w:val="EndNoteBibliography"/>
        <w:spacing w:after="0"/>
      </w:pPr>
      <w:r w:rsidRPr="00655D61">
        <w:t>15.</w:t>
      </w:r>
      <w:r w:rsidRPr="00655D61">
        <w:tab/>
        <w:t xml:space="preserve">Goldsmith J., Liu X., Jacobson J., Rundle A. New Insights into Activity Patterns in Children, Found Using Functional Data Analysis. </w:t>
      </w:r>
      <w:r w:rsidRPr="00655D61">
        <w:rPr>
          <w:i/>
        </w:rPr>
        <w:t>Med Sci Sports Exerc</w:t>
      </w:r>
      <w:r w:rsidRPr="00655D61">
        <w:t xml:space="preserve">. </w:t>
      </w:r>
      <w:r w:rsidRPr="00655D61">
        <w:rPr>
          <w:b/>
        </w:rPr>
        <w:t>2016</w:t>
      </w:r>
      <w:r w:rsidRPr="00655D61">
        <w:t xml:space="preserve">, 48, 1723-9. </w:t>
      </w:r>
      <w:hyperlink r:id="rId22" w:history="1">
        <w:r w:rsidRPr="00655D61">
          <w:rPr>
            <w:rStyle w:val="Hyperlink"/>
          </w:rPr>
          <w:t>https://doi.org/doi:10.1249/MSS.0000000000000968</w:t>
        </w:r>
      </w:hyperlink>
    </w:p>
    <w:p w14:paraId="30B573D8" w14:textId="77777777" w:rsidR="00655D61" w:rsidRPr="00655D61" w:rsidRDefault="00655D61" w:rsidP="00655D61">
      <w:pPr>
        <w:pStyle w:val="EndNoteBibliography"/>
        <w:spacing w:after="0"/>
      </w:pPr>
      <w:r w:rsidRPr="00655D61">
        <w:t>16.</w:t>
      </w:r>
      <w:r w:rsidRPr="00655D61">
        <w:tab/>
        <w:t>Ramsay J.O., Silverman B.W. Functional Data Analysis. 2nd ed. New York: Springer; 2005.</w:t>
      </w:r>
    </w:p>
    <w:p w14:paraId="69FC77CE" w14:textId="6D824C85" w:rsidR="00655D61" w:rsidRPr="00655D61" w:rsidRDefault="00655D61" w:rsidP="00655D61">
      <w:pPr>
        <w:pStyle w:val="EndNoteBibliography"/>
        <w:spacing w:after="0"/>
      </w:pPr>
      <w:r w:rsidRPr="00655D61">
        <w:lastRenderedPageBreak/>
        <w:t>17.</w:t>
      </w:r>
      <w:r w:rsidRPr="00655D61">
        <w:tab/>
        <w:t xml:space="preserve">Brooks-Russell A., Brown T., Friedman K., Wrobel J., Schwarz J., Dooley G., Ryall K.A., Steinhart B., Amioka E., Milavetz G.; et al. Simulated driving performance among daily and occasional cannabis users. </w:t>
      </w:r>
      <w:r w:rsidRPr="00655D61">
        <w:rPr>
          <w:i/>
        </w:rPr>
        <w:t>Accid Anal Prev</w:t>
      </w:r>
      <w:r w:rsidRPr="00655D61">
        <w:t xml:space="preserve">. </w:t>
      </w:r>
      <w:r w:rsidRPr="00655D61">
        <w:rPr>
          <w:b/>
        </w:rPr>
        <w:t>2021</w:t>
      </w:r>
      <w:r w:rsidRPr="00655D61">
        <w:t xml:space="preserve">, 160, 106326. </w:t>
      </w:r>
      <w:hyperlink r:id="rId23" w:history="1">
        <w:r w:rsidRPr="00655D61">
          <w:rPr>
            <w:rStyle w:val="Hyperlink"/>
          </w:rPr>
          <w:t>https://doi.org/10.1016/j.aap.2021.106326</w:t>
        </w:r>
      </w:hyperlink>
    </w:p>
    <w:p w14:paraId="526BF234" w14:textId="77777777" w:rsidR="00655D61" w:rsidRPr="00655D61" w:rsidRDefault="00655D61" w:rsidP="00655D61">
      <w:pPr>
        <w:pStyle w:val="EndNoteBibliography"/>
        <w:spacing w:after="0"/>
      </w:pPr>
      <w:r w:rsidRPr="00655D61">
        <w:t>18.</w:t>
      </w:r>
      <w:r w:rsidRPr="00655D61">
        <w:tab/>
        <w:t xml:space="preserve">Ramsay J.O., Dalzell C.J. Some Tools for Functional Data Analysis. </w:t>
      </w:r>
      <w:r w:rsidRPr="00655D61">
        <w:rPr>
          <w:i/>
        </w:rPr>
        <w:t>Journal of the Royal Statistical Society Series B (Statistical Methodology)</w:t>
      </w:r>
      <w:r w:rsidRPr="00655D61">
        <w:t xml:space="preserve">. </w:t>
      </w:r>
      <w:r w:rsidRPr="00655D61">
        <w:rPr>
          <w:b/>
        </w:rPr>
        <w:t>1991</w:t>
      </w:r>
      <w:r w:rsidRPr="00655D61">
        <w:t xml:space="preserve">, 53, 539-72. </w:t>
      </w:r>
    </w:p>
    <w:p w14:paraId="7C48411D" w14:textId="4FCBC88F" w:rsidR="00655D61" w:rsidRPr="00655D61" w:rsidRDefault="00655D61" w:rsidP="00655D61">
      <w:pPr>
        <w:pStyle w:val="EndNoteBibliography"/>
        <w:spacing w:after="0"/>
      </w:pPr>
      <w:r w:rsidRPr="00655D61">
        <w:t>19.</w:t>
      </w:r>
      <w:r w:rsidRPr="00655D61">
        <w:tab/>
        <w:t xml:space="preserve">Reiss P.T., Goldsmith J., Shang H.L., Ogden R.T. Methods for scalar-on-function regression. </w:t>
      </w:r>
      <w:r w:rsidRPr="00655D61">
        <w:rPr>
          <w:i/>
        </w:rPr>
        <w:t>Int Stat Rev</w:t>
      </w:r>
      <w:r w:rsidRPr="00655D61">
        <w:t xml:space="preserve">. </w:t>
      </w:r>
      <w:r w:rsidRPr="00655D61">
        <w:rPr>
          <w:b/>
        </w:rPr>
        <w:t>2017</w:t>
      </w:r>
      <w:r w:rsidRPr="00655D61">
        <w:t xml:space="preserve">, 85, 228-49. </w:t>
      </w:r>
      <w:hyperlink r:id="rId24" w:history="1">
        <w:r w:rsidRPr="00655D61">
          <w:rPr>
            <w:rStyle w:val="Hyperlink"/>
          </w:rPr>
          <w:t>https://doi.org/10.1111/insr.12163</w:t>
        </w:r>
      </w:hyperlink>
    </w:p>
    <w:p w14:paraId="7F21593E" w14:textId="69C55F98" w:rsidR="00655D61" w:rsidRPr="00655D61" w:rsidRDefault="00655D61" w:rsidP="00655D61">
      <w:pPr>
        <w:pStyle w:val="EndNoteBibliography"/>
        <w:spacing w:after="0"/>
      </w:pPr>
      <w:r w:rsidRPr="00655D61">
        <w:t>20.</w:t>
      </w:r>
      <w:r w:rsidRPr="00655D61">
        <w:tab/>
        <w:t xml:space="preserve">Goldsmith J., Bobb J., Crainiceanu C.M., Caffo B., Reich D. Penalized Functional Regression. </w:t>
      </w:r>
      <w:r w:rsidRPr="00655D61">
        <w:rPr>
          <w:i/>
        </w:rPr>
        <w:t>J Comput Graph Stat</w:t>
      </w:r>
      <w:r w:rsidRPr="00655D61">
        <w:t xml:space="preserve">. </w:t>
      </w:r>
      <w:r w:rsidRPr="00655D61">
        <w:rPr>
          <w:b/>
        </w:rPr>
        <w:t>2011</w:t>
      </w:r>
      <w:r w:rsidRPr="00655D61">
        <w:t xml:space="preserve">, 20, 830-51. </w:t>
      </w:r>
      <w:hyperlink r:id="rId25" w:history="1">
        <w:r w:rsidRPr="00655D61">
          <w:rPr>
            <w:rStyle w:val="Hyperlink"/>
          </w:rPr>
          <w:t>https://doi.org/10.1198/jcgs.2010.10007</w:t>
        </w:r>
      </w:hyperlink>
    </w:p>
    <w:p w14:paraId="235166A1" w14:textId="77777777" w:rsidR="00655D61" w:rsidRPr="00655D61" w:rsidRDefault="00655D61" w:rsidP="00655D61">
      <w:pPr>
        <w:pStyle w:val="EndNoteBibliography"/>
        <w:spacing w:after="0"/>
      </w:pPr>
      <w:r w:rsidRPr="00655D61">
        <w:t>21.</w:t>
      </w:r>
      <w:r w:rsidRPr="00655D61">
        <w:tab/>
        <w:t xml:space="preserve">DeLong E.R., DeLong D.M., Clarke-Pearson D.L. Comparing the Areas under Two or More Correlated Receiver Operating Characteristic Curves: A Nonparametric Approach. </w:t>
      </w:r>
      <w:r w:rsidRPr="00655D61">
        <w:rPr>
          <w:i/>
        </w:rPr>
        <w:t>Biometrics</w:t>
      </w:r>
      <w:r w:rsidRPr="00655D61">
        <w:t xml:space="preserve">. </w:t>
      </w:r>
      <w:r w:rsidRPr="00655D61">
        <w:rPr>
          <w:b/>
        </w:rPr>
        <w:t>1988</w:t>
      </w:r>
      <w:r w:rsidRPr="00655D61">
        <w:t xml:space="preserve">, 44, 837-45. </w:t>
      </w:r>
    </w:p>
    <w:p w14:paraId="5E09FC28" w14:textId="60A34881" w:rsidR="00655D61" w:rsidRPr="00655D61" w:rsidRDefault="00655D61" w:rsidP="00655D61">
      <w:pPr>
        <w:pStyle w:val="EndNoteBibliography"/>
        <w:spacing w:after="0"/>
      </w:pPr>
      <w:r w:rsidRPr="00655D61">
        <w:t>22.</w:t>
      </w:r>
      <w:r w:rsidRPr="00655D61">
        <w:tab/>
        <w:t xml:space="preserve">Team. R.C. (2020) R: A language and environment for statistical computing., available from: </w:t>
      </w:r>
      <w:hyperlink r:id="rId26" w:history="1">
        <w:r w:rsidRPr="00655D61">
          <w:rPr>
            <w:rStyle w:val="Hyperlink"/>
          </w:rPr>
          <w:t>https://www.R-project.org/</w:t>
        </w:r>
      </w:hyperlink>
      <w:r w:rsidRPr="00655D61">
        <w:t xml:space="preserve"> (accessed on: </w:t>
      </w:r>
    </w:p>
    <w:p w14:paraId="0B877EA9" w14:textId="2716084A" w:rsidR="00655D61" w:rsidRPr="00655D61" w:rsidRDefault="00655D61" w:rsidP="00655D61">
      <w:pPr>
        <w:pStyle w:val="EndNoteBibliography"/>
        <w:spacing w:after="0"/>
      </w:pPr>
      <w:r w:rsidRPr="00655D61">
        <w:t>23.</w:t>
      </w:r>
      <w:r w:rsidRPr="00655D61">
        <w:tab/>
        <w:t xml:space="preserve">Wood S.N. Fast stable restricted maximum likelihood and marginal likelihood estimation of semiparametric generalized linear models. </w:t>
      </w:r>
      <w:r w:rsidRPr="00655D61">
        <w:rPr>
          <w:i/>
        </w:rPr>
        <w:t>Journal of the Royal Statistical Society: Series B (Statistical Methodology)</w:t>
      </w:r>
      <w:r w:rsidRPr="00655D61">
        <w:t xml:space="preserve">. </w:t>
      </w:r>
      <w:r w:rsidRPr="00655D61">
        <w:rPr>
          <w:b/>
        </w:rPr>
        <w:t>2011</w:t>
      </w:r>
      <w:r w:rsidRPr="00655D61">
        <w:t xml:space="preserve">, 73, 3-36. </w:t>
      </w:r>
      <w:hyperlink r:id="rId27" w:history="1">
        <w:r w:rsidRPr="00655D61">
          <w:rPr>
            <w:rStyle w:val="Hyperlink"/>
          </w:rPr>
          <w:t>https://doi.org/</w:t>
        </w:r>
      </w:hyperlink>
      <w:r w:rsidRPr="00655D61">
        <w:t xml:space="preserve"> </w:t>
      </w:r>
      <w:hyperlink r:id="rId28" w:history="1">
        <w:r w:rsidRPr="00655D61">
          <w:rPr>
            <w:rStyle w:val="Hyperlink"/>
          </w:rPr>
          <w:t>https://doi.org/10.1111/j.1467-9868.2010.00749.x</w:t>
        </w:r>
      </w:hyperlink>
    </w:p>
    <w:p w14:paraId="32F16834" w14:textId="77777777" w:rsidR="00655D61" w:rsidRPr="00655D61" w:rsidRDefault="00655D61" w:rsidP="00655D61">
      <w:pPr>
        <w:pStyle w:val="EndNoteBibliography"/>
        <w:spacing w:after="0"/>
      </w:pPr>
      <w:r w:rsidRPr="00655D61">
        <w:t>24.</w:t>
      </w:r>
      <w:r w:rsidRPr="00655D61">
        <w:tab/>
        <w:t>Wood S.N. Generalized Additive Models: An Introduction with R. 2nd ed. Blizstein JK, Faraway JJ, Tanner M, Zidek J, editors. Boca Raton, FL: Chapman and Hall/CRC; 2017. 496 p.</w:t>
      </w:r>
    </w:p>
    <w:p w14:paraId="0016557B" w14:textId="69244E5B" w:rsidR="00655D61" w:rsidRPr="00655D61" w:rsidRDefault="00655D61" w:rsidP="00655D61">
      <w:pPr>
        <w:pStyle w:val="EndNoteBibliography"/>
        <w:spacing w:after="0"/>
      </w:pPr>
      <w:r w:rsidRPr="00655D61">
        <w:t>25.</w:t>
      </w:r>
      <w:r w:rsidRPr="00655D61">
        <w:tab/>
        <w:t xml:space="preserve">Leroux A., Xiao L., Crainiceanu C., Checkley W. Dynamic prediction in functional concurrent regression with an application to child growth. </w:t>
      </w:r>
      <w:r w:rsidRPr="00655D61">
        <w:rPr>
          <w:i/>
        </w:rPr>
        <w:t>Stat Med</w:t>
      </w:r>
      <w:r w:rsidRPr="00655D61">
        <w:t xml:space="preserve">. </w:t>
      </w:r>
      <w:r w:rsidRPr="00655D61">
        <w:rPr>
          <w:b/>
        </w:rPr>
        <w:t>2018</w:t>
      </w:r>
      <w:r w:rsidRPr="00655D61">
        <w:t xml:space="preserve">, 37, 1376-88. </w:t>
      </w:r>
      <w:hyperlink r:id="rId29" w:history="1">
        <w:r w:rsidRPr="00655D61">
          <w:rPr>
            <w:rStyle w:val="Hyperlink"/>
          </w:rPr>
          <w:t>https://doi.org/10.1002/sim.7582</w:t>
        </w:r>
      </w:hyperlink>
    </w:p>
    <w:p w14:paraId="27DACBA4" w14:textId="059193C3" w:rsidR="00655D61" w:rsidRPr="00655D61" w:rsidRDefault="00655D61" w:rsidP="00655D61">
      <w:pPr>
        <w:pStyle w:val="EndNoteBibliography"/>
        <w:spacing w:after="0"/>
      </w:pPr>
      <w:r w:rsidRPr="00655D61">
        <w:t>26.</w:t>
      </w:r>
      <w:r w:rsidRPr="00655D61">
        <w:tab/>
        <w:t xml:space="preserve">Larson M.D., Behrends M. Portable infrared pupillometry: a review. </w:t>
      </w:r>
      <w:r w:rsidRPr="00655D61">
        <w:rPr>
          <w:i/>
        </w:rPr>
        <w:t>Anesth Analg</w:t>
      </w:r>
      <w:r w:rsidRPr="00655D61">
        <w:t xml:space="preserve">. </w:t>
      </w:r>
      <w:r w:rsidRPr="00655D61">
        <w:rPr>
          <w:b/>
        </w:rPr>
        <w:t>2015</w:t>
      </w:r>
      <w:r w:rsidRPr="00655D61">
        <w:t xml:space="preserve">, 120, 1242-53. </w:t>
      </w:r>
      <w:hyperlink r:id="rId30" w:history="1">
        <w:r w:rsidRPr="00655D61">
          <w:rPr>
            <w:rStyle w:val="Hyperlink"/>
          </w:rPr>
          <w:t>https://doi.org/10.1213/ANE.0000000000000314</w:t>
        </w:r>
      </w:hyperlink>
    </w:p>
    <w:p w14:paraId="4A139E81" w14:textId="11BF6009" w:rsidR="00655D61" w:rsidRPr="00655D61" w:rsidRDefault="00655D61" w:rsidP="00655D61">
      <w:pPr>
        <w:pStyle w:val="EndNoteBibliography"/>
      </w:pPr>
      <w:r w:rsidRPr="00655D61">
        <w:t>27.</w:t>
      </w:r>
      <w:r w:rsidRPr="00655D61">
        <w:tab/>
        <w:t xml:space="preserve">McKay R.E., Larson M.D. Detection of opioid effect with pupillometry. </w:t>
      </w:r>
      <w:r w:rsidRPr="00655D61">
        <w:rPr>
          <w:i/>
        </w:rPr>
        <w:t>Auton Neurosci</w:t>
      </w:r>
      <w:r w:rsidRPr="00655D61">
        <w:t xml:space="preserve">. </w:t>
      </w:r>
      <w:r w:rsidRPr="00655D61">
        <w:rPr>
          <w:b/>
        </w:rPr>
        <w:t>2021</w:t>
      </w:r>
      <w:r w:rsidRPr="00655D61">
        <w:t xml:space="preserve">, 235, 102869. </w:t>
      </w:r>
      <w:hyperlink r:id="rId31" w:history="1">
        <w:r w:rsidRPr="00655D61">
          <w:rPr>
            <w:rStyle w:val="Hyperlink"/>
          </w:rPr>
          <w:t>https://doi.org/10.1016/j.autneu.2021.102869</w:t>
        </w:r>
      </w:hyperlink>
    </w:p>
    <w:p w14:paraId="3EBF9E29" w14:textId="0FC31544" w:rsidR="004F6DA7" w:rsidRDefault="00AC729D" w:rsidP="00E20F05">
      <w:pPr>
        <w:spacing w:line="480" w:lineRule="auto"/>
      </w:pPr>
      <w:r w:rsidRPr="00C855DB">
        <w:rPr>
          <w:rFonts w:ascii="Times New Roman" w:hAnsi="Times New Roman" w:cs="Times New Roman"/>
          <w:sz w:val="24"/>
          <w:szCs w:val="24"/>
        </w:rPr>
        <w:fldChar w:fldCharType="end"/>
      </w:r>
    </w:p>
    <w:sectPr w:rsidR="004F6DA7" w:rsidSect="004D287E">
      <w:headerReference w:type="default" r:id="rId3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7E967" w14:textId="77777777" w:rsidR="002D25E0" w:rsidRDefault="002D25E0">
      <w:pPr>
        <w:spacing w:after="0" w:line="240" w:lineRule="auto"/>
      </w:pPr>
      <w:r>
        <w:separator/>
      </w:r>
    </w:p>
  </w:endnote>
  <w:endnote w:type="continuationSeparator" w:id="0">
    <w:p w14:paraId="71333D59" w14:textId="77777777" w:rsidR="002D25E0" w:rsidRDefault="002D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F284" w14:textId="77777777" w:rsidR="002D25E0" w:rsidRDefault="002D25E0">
      <w:pPr>
        <w:spacing w:after="0" w:line="240" w:lineRule="auto"/>
      </w:pPr>
      <w:r>
        <w:separator/>
      </w:r>
    </w:p>
  </w:footnote>
  <w:footnote w:type="continuationSeparator" w:id="0">
    <w:p w14:paraId="6BFA2B58" w14:textId="77777777" w:rsidR="002D25E0" w:rsidRDefault="002D2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4153"/>
    <w:rsid w:val="00015144"/>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A505D"/>
    <w:rsid w:val="000A6FEA"/>
    <w:rsid w:val="000A7AC9"/>
    <w:rsid w:val="000B03FA"/>
    <w:rsid w:val="000B4566"/>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24BC8"/>
    <w:rsid w:val="00130FB9"/>
    <w:rsid w:val="00134C30"/>
    <w:rsid w:val="00142221"/>
    <w:rsid w:val="001446D0"/>
    <w:rsid w:val="00145FAE"/>
    <w:rsid w:val="001463B5"/>
    <w:rsid w:val="00154B36"/>
    <w:rsid w:val="00170D1F"/>
    <w:rsid w:val="00171BBF"/>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212565"/>
    <w:rsid w:val="00220E8D"/>
    <w:rsid w:val="00235DBA"/>
    <w:rsid w:val="002433B9"/>
    <w:rsid w:val="002576F0"/>
    <w:rsid w:val="002601C2"/>
    <w:rsid w:val="00266935"/>
    <w:rsid w:val="00266CFF"/>
    <w:rsid w:val="00270781"/>
    <w:rsid w:val="00272A14"/>
    <w:rsid w:val="00275BDB"/>
    <w:rsid w:val="00280EC4"/>
    <w:rsid w:val="00293E2B"/>
    <w:rsid w:val="002A3771"/>
    <w:rsid w:val="002B6787"/>
    <w:rsid w:val="002D25E0"/>
    <w:rsid w:val="002F1437"/>
    <w:rsid w:val="002F5FA5"/>
    <w:rsid w:val="00307450"/>
    <w:rsid w:val="003121B1"/>
    <w:rsid w:val="003324CE"/>
    <w:rsid w:val="003331AA"/>
    <w:rsid w:val="00344DEA"/>
    <w:rsid w:val="00350B0C"/>
    <w:rsid w:val="003722D5"/>
    <w:rsid w:val="0037408F"/>
    <w:rsid w:val="00382677"/>
    <w:rsid w:val="0038450B"/>
    <w:rsid w:val="003866E1"/>
    <w:rsid w:val="00396CC4"/>
    <w:rsid w:val="003A4B7B"/>
    <w:rsid w:val="003A77AA"/>
    <w:rsid w:val="003B2103"/>
    <w:rsid w:val="003B3176"/>
    <w:rsid w:val="003B5994"/>
    <w:rsid w:val="003B61EA"/>
    <w:rsid w:val="003C65BD"/>
    <w:rsid w:val="003D007B"/>
    <w:rsid w:val="003D1991"/>
    <w:rsid w:val="003D5EDF"/>
    <w:rsid w:val="003E5F0A"/>
    <w:rsid w:val="003F268F"/>
    <w:rsid w:val="003F2F80"/>
    <w:rsid w:val="003F47E5"/>
    <w:rsid w:val="00407458"/>
    <w:rsid w:val="00414234"/>
    <w:rsid w:val="00431121"/>
    <w:rsid w:val="0043173A"/>
    <w:rsid w:val="00435258"/>
    <w:rsid w:val="00447B75"/>
    <w:rsid w:val="00453BBA"/>
    <w:rsid w:val="0045504F"/>
    <w:rsid w:val="00457293"/>
    <w:rsid w:val="0046502B"/>
    <w:rsid w:val="004905F6"/>
    <w:rsid w:val="004949FC"/>
    <w:rsid w:val="004A3E03"/>
    <w:rsid w:val="004A506E"/>
    <w:rsid w:val="004B1AD6"/>
    <w:rsid w:val="004C214C"/>
    <w:rsid w:val="004C2CAF"/>
    <w:rsid w:val="004C3BB0"/>
    <w:rsid w:val="004D192C"/>
    <w:rsid w:val="004D287E"/>
    <w:rsid w:val="004D7BC2"/>
    <w:rsid w:val="004E779B"/>
    <w:rsid w:val="004F57B0"/>
    <w:rsid w:val="004F6DA7"/>
    <w:rsid w:val="00502E5D"/>
    <w:rsid w:val="00510F15"/>
    <w:rsid w:val="00513A79"/>
    <w:rsid w:val="005203B6"/>
    <w:rsid w:val="00533A3B"/>
    <w:rsid w:val="00541E79"/>
    <w:rsid w:val="00544A94"/>
    <w:rsid w:val="005453C5"/>
    <w:rsid w:val="00553DC0"/>
    <w:rsid w:val="005665CC"/>
    <w:rsid w:val="00572E5D"/>
    <w:rsid w:val="00573A5E"/>
    <w:rsid w:val="005761C8"/>
    <w:rsid w:val="0058131E"/>
    <w:rsid w:val="00593D40"/>
    <w:rsid w:val="00596159"/>
    <w:rsid w:val="00596530"/>
    <w:rsid w:val="005A12DA"/>
    <w:rsid w:val="005A1CA3"/>
    <w:rsid w:val="005C48AB"/>
    <w:rsid w:val="005D217E"/>
    <w:rsid w:val="005D4663"/>
    <w:rsid w:val="005E014E"/>
    <w:rsid w:val="005E1A6C"/>
    <w:rsid w:val="005E4E08"/>
    <w:rsid w:val="005E5807"/>
    <w:rsid w:val="0060548C"/>
    <w:rsid w:val="006055DE"/>
    <w:rsid w:val="00612E1D"/>
    <w:rsid w:val="00621D20"/>
    <w:rsid w:val="006272E4"/>
    <w:rsid w:val="00640922"/>
    <w:rsid w:val="0064145E"/>
    <w:rsid w:val="00645F61"/>
    <w:rsid w:val="00653269"/>
    <w:rsid w:val="00654653"/>
    <w:rsid w:val="00655D61"/>
    <w:rsid w:val="006718EF"/>
    <w:rsid w:val="006726C3"/>
    <w:rsid w:val="00676473"/>
    <w:rsid w:val="00682F20"/>
    <w:rsid w:val="006A71BA"/>
    <w:rsid w:val="006A7725"/>
    <w:rsid w:val="006B15E2"/>
    <w:rsid w:val="006B20DF"/>
    <w:rsid w:val="006B776B"/>
    <w:rsid w:val="006D7FDC"/>
    <w:rsid w:val="006E1AAE"/>
    <w:rsid w:val="006E2151"/>
    <w:rsid w:val="006E2D48"/>
    <w:rsid w:val="006E3B26"/>
    <w:rsid w:val="006E779B"/>
    <w:rsid w:val="006F429C"/>
    <w:rsid w:val="0071117D"/>
    <w:rsid w:val="00713F40"/>
    <w:rsid w:val="00716083"/>
    <w:rsid w:val="00722C19"/>
    <w:rsid w:val="007333F2"/>
    <w:rsid w:val="00741A17"/>
    <w:rsid w:val="00741FD4"/>
    <w:rsid w:val="007429B5"/>
    <w:rsid w:val="00753C76"/>
    <w:rsid w:val="007638C8"/>
    <w:rsid w:val="007753D9"/>
    <w:rsid w:val="0077653A"/>
    <w:rsid w:val="00776585"/>
    <w:rsid w:val="007B24CF"/>
    <w:rsid w:val="007B5F34"/>
    <w:rsid w:val="007C7CCA"/>
    <w:rsid w:val="007D3F40"/>
    <w:rsid w:val="007D66A9"/>
    <w:rsid w:val="007E0DCB"/>
    <w:rsid w:val="007E1508"/>
    <w:rsid w:val="007F2746"/>
    <w:rsid w:val="007F35AD"/>
    <w:rsid w:val="00803CCC"/>
    <w:rsid w:val="0081214E"/>
    <w:rsid w:val="00813D55"/>
    <w:rsid w:val="008350AB"/>
    <w:rsid w:val="00845A75"/>
    <w:rsid w:val="00854756"/>
    <w:rsid w:val="0086330E"/>
    <w:rsid w:val="0088266B"/>
    <w:rsid w:val="00891030"/>
    <w:rsid w:val="00891135"/>
    <w:rsid w:val="00895676"/>
    <w:rsid w:val="008A2C55"/>
    <w:rsid w:val="008B46EC"/>
    <w:rsid w:val="008B4C4E"/>
    <w:rsid w:val="008D25E4"/>
    <w:rsid w:val="008D4B53"/>
    <w:rsid w:val="008D7DB8"/>
    <w:rsid w:val="008E2051"/>
    <w:rsid w:val="008E699A"/>
    <w:rsid w:val="008F5E2E"/>
    <w:rsid w:val="008F6414"/>
    <w:rsid w:val="008F7510"/>
    <w:rsid w:val="008F7BE5"/>
    <w:rsid w:val="00900E49"/>
    <w:rsid w:val="00904042"/>
    <w:rsid w:val="00906970"/>
    <w:rsid w:val="00916966"/>
    <w:rsid w:val="009214DE"/>
    <w:rsid w:val="00921B36"/>
    <w:rsid w:val="00922F6B"/>
    <w:rsid w:val="00931320"/>
    <w:rsid w:val="00932E96"/>
    <w:rsid w:val="009376C6"/>
    <w:rsid w:val="0094403E"/>
    <w:rsid w:val="0094551E"/>
    <w:rsid w:val="00947CED"/>
    <w:rsid w:val="009637AD"/>
    <w:rsid w:val="009650BE"/>
    <w:rsid w:val="00985A55"/>
    <w:rsid w:val="009862B9"/>
    <w:rsid w:val="009A19B0"/>
    <w:rsid w:val="009B1352"/>
    <w:rsid w:val="009B13A6"/>
    <w:rsid w:val="009B2FAB"/>
    <w:rsid w:val="009D0A62"/>
    <w:rsid w:val="009D1A3C"/>
    <w:rsid w:val="009D3D8A"/>
    <w:rsid w:val="009D4932"/>
    <w:rsid w:val="009D4CD8"/>
    <w:rsid w:val="009D6177"/>
    <w:rsid w:val="009D6C57"/>
    <w:rsid w:val="009E0D1E"/>
    <w:rsid w:val="009E4DCE"/>
    <w:rsid w:val="009E4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3F4F"/>
    <w:rsid w:val="00B4437F"/>
    <w:rsid w:val="00B44F4C"/>
    <w:rsid w:val="00B50533"/>
    <w:rsid w:val="00B56768"/>
    <w:rsid w:val="00B61AB2"/>
    <w:rsid w:val="00B67E1E"/>
    <w:rsid w:val="00B8328C"/>
    <w:rsid w:val="00B916B9"/>
    <w:rsid w:val="00B97648"/>
    <w:rsid w:val="00BA1503"/>
    <w:rsid w:val="00BA1596"/>
    <w:rsid w:val="00BB1B81"/>
    <w:rsid w:val="00BB2C73"/>
    <w:rsid w:val="00BB33EB"/>
    <w:rsid w:val="00BB57B8"/>
    <w:rsid w:val="00BC03F3"/>
    <w:rsid w:val="00BD0D18"/>
    <w:rsid w:val="00BD3719"/>
    <w:rsid w:val="00BD7010"/>
    <w:rsid w:val="00BE4A97"/>
    <w:rsid w:val="00BE5FA5"/>
    <w:rsid w:val="00BE6F0F"/>
    <w:rsid w:val="00C0073C"/>
    <w:rsid w:val="00C0097F"/>
    <w:rsid w:val="00C06B59"/>
    <w:rsid w:val="00C22B44"/>
    <w:rsid w:val="00C37AF6"/>
    <w:rsid w:val="00C46D1B"/>
    <w:rsid w:val="00C52857"/>
    <w:rsid w:val="00C528BD"/>
    <w:rsid w:val="00C53DBC"/>
    <w:rsid w:val="00C61C8A"/>
    <w:rsid w:val="00C65ACD"/>
    <w:rsid w:val="00C672A0"/>
    <w:rsid w:val="00C73D7F"/>
    <w:rsid w:val="00C749D3"/>
    <w:rsid w:val="00C753A1"/>
    <w:rsid w:val="00C8166E"/>
    <w:rsid w:val="00C843C0"/>
    <w:rsid w:val="00C855DB"/>
    <w:rsid w:val="00C91B0D"/>
    <w:rsid w:val="00C9294E"/>
    <w:rsid w:val="00C96C66"/>
    <w:rsid w:val="00C97CD2"/>
    <w:rsid w:val="00CA3390"/>
    <w:rsid w:val="00CA41F4"/>
    <w:rsid w:val="00CC24B6"/>
    <w:rsid w:val="00CC5551"/>
    <w:rsid w:val="00CD026F"/>
    <w:rsid w:val="00CE378B"/>
    <w:rsid w:val="00CF0126"/>
    <w:rsid w:val="00CF0C87"/>
    <w:rsid w:val="00D07C1E"/>
    <w:rsid w:val="00D15CD7"/>
    <w:rsid w:val="00D17C16"/>
    <w:rsid w:val="00D17FA6"/>
    <w:rsid w:val="00D23C14"/>
    <w:rsid w:val="00D3105B"/>
    <w:rsid w:val="00D424D8"/>
    <w:rsid w:val="00D46B80"/>
    <w:rsid w:val="00D572C3"/>
    <w:rsid w:val="00D64660"/>
    <w:rsid w:val="00D65204"/>
    <w:rsid w:val="00D71901"/>
    <w:rsid w:val="00D80544"/>
    <w:rsid w:val="00D84D9C"/>
    <w:rsid w:val="00D94644"/>
    <w:rsid w:val="00DA4BFE"/>
    <w:rsid w:val="00DB21F0"/>
    <w:rsid w:val="00DB342E"/>
    <w:rsid w:val="00DB6C79"/>
    <w:rsid w:val="00DC595F"/>
    <w:rsid w:val="00DD0FAD"/>
    <w:rsid w:val="00DE24E5"/>
    <w:rsid w:val="00DE2F24"/>
    <w:rsid w:val="00DE5935"/>
    <w:rsid w:val="00E00F97"/>
    <w:rsid w:val="00E11884"/>
    <w:rsid w:val="00E20F05"/>
    <w:rsid w:val="00E27624"/>
    <w:rsid w:val="00E30BDA"/>
    <w:rsid w:val="00E310C0"/>
    <w:rsid w:val="00E31343"/>
    <w:rsid w:val="00E33979"/>
    <w:rsid w:val="00E43FD9"/>
    <w:rsid w:val="00E65FA1"/>
    <w:rsid w:val="00E70EA0"/>
    <w:rsid w:val="00E737B6"/>
    <w:rsid w:val="00E85FCC"/>
    <w:rsid w:val="00E900F0"/>
    <w:rsid w:val="00E937FF"/>
    <w:rsid w:val="00E94D0D"/>
    <w:rsid w:val="00EA5477"/>
    <w:rsid w:val="00EA772B"/>
    <w:rsid w:val="00EB385E"/>
    <w:rsid w:val="00EB631F"/>
    <w:rsid w:val="00EB74F7"/>
    <w:rsid w:val="00EC785C"/>
    <w:rsid w:val="00ED2ADC"/>
    <w:rsid w:val="00EE1F4C"/>
    <w:rsid w:val="00EE3CFB"/>
    <w:rsid w:val="00F02F28"/>
    <w:rsid w:val="00F05A1C"/>
    <w:rsid w:val="00F20736"/>
    <w:rsid w:val="00F20802"/>
    <w:rsid w:val="00F210DD"/>
    <w:rsid w:val="00F22376"/>
    <w:rsid w:val="00F22F07"/>
    <w:rsid w:val="00F33583"/>
    <w:rsid w:val="00F355A6"/>
    <w:rsid w:val="00F450CF"/>
    <w:rsid w:val="00F51330"/>
    <w:rsid w:val="00F5214C"/>
    <w:rsid w:val="00F53C23"/>
    <w:rsid w:val="00F63F85"/>
    <w:rsid w:val="00F71E5F"/>
    <w:rsid w:val="00F73596"/>
    <w:rsid w:val="00F73DFB"/>
    <w:rsid w:val="00F8115B"/>
    <w:rsid w:val="00F93007"/>
    <w:rsid w:val="00FB0E2B"/>
    <w:rsid w:val="00FB560F"/>
    <w:rsid w:val="00FC19C7"/>
    <w:rsid w:val="00FD2288"/>
    <w:rsid w:val="00FD4ACD"/>
    <w:rsid w:val="00FD55AF"/>
    <w:rsid w:val="00FD5F0E"/>
    <w:rsid w:val="00FE2419"/>
    <w:rsid w:val="00FE3859"/>
    <w:rsid w:val="00FF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occmed/kqaa175" TargetMode="External"/><Relationship Id="rId18" Type="http://schemas.openxmlformats.org/officeDocument/2006/relationships/hyperlink" Target="https://doi.org/10.1016/j.forsciint.2021.110902"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80/10826084.2020.1759643" TargetMode="External"/><Relationship Id="rId17" Type="http://schemas.openxmlformats.org/officeDocument/2006/relationships/hyperlink" Target="https://doi.org/10.1038/s41598-022-11481-5" TargetMode="External"/><Relationship Id="rId25" Type="http://schemas.openxmlformats.org/officeDocument/2006/relationships/hyperlink" Target="https://doi.org/10.1198/jcgs.2010.1000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5389588.2020.1851685" TargetMode="External"/><Relationship Id="rId20" Type="http://schemas.openxmlformats.org/officeDocument/2006/relationships/hyperlink" Target="https://doi.org/10.1016/j.forsciint.2020.110559" TargetMode="External"/><Relationship Id="rId29" Type="http://schemas.openxmlformats.org/officeDocument/2006/relationships/hyperlink" Target="https://doi.org/10.1002/sim.75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05/AJPH.2021.306466" TargetMode="External"/><Relationship Id="rId24" Type="http://schemas.openxmlformats.org/officeDocument/2006/relationships/hyperlink" Target="https://doi.org/10.1111/insr.12163"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07/s00213-012-2787-9" TargetMode="External"/><Relationship Id="rId23" Type="http://schemas.openxmlformats.org/officeDocument/2006/relationships/hyperlink" Target="https://doi.org/10.1016/j.aap.2021.106326" TargetMode="External"/><Relationship Id="rId28" Type="http://schemas.openxmlformats.org/officeDocument/2006/relationships/hyperlink" Target="https://doi.org/10.1111/j.1467-9868.2010.00749.x" TargetMode="External"/><Relationship Id="rId10" Type="http://schemas.openxmlformats.org/officeDocument/2006/relationships/image" Target="media/image4.png"/><Relationship Id="rId19" Type="http://schemas.openxmlformats.org/officeDocument/2006/relationships/hyperlink" Target="https://doi.org/10.1016/s1529-1839(04)70037-8" TargetMode="External"/><Relationship Id="rId31" Type="http://schemas.openxmlformats.org/officeDocument/2006/relationships/hyperlink" Target="https://doi.org/10.1016/j.autneu.2021.1028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htsa.gov/dwi-detection-and-standardized-field-sobriety-test-sfst-resources" TargetMode="External"/><Relationship Id="rId22" Type="http://schemas.openxmlformats.org/officeDocument/2006/relationships/hyperlink" Target="https://doi.org/doi:10.1249/MSS.0000000000000968" TargetMode="External"/><Relationship Id="rId27" Type="http://schemas.openxmlformats.org/officeDocument/2006/relationships/hyperlink" Target="https://doi.org/" TargetMode="External"/><Relationship Id="rId30" Type="http://schemas.openxmlformats.org/officeDocument/2006/relationships/hyperlink" Target="https://doi.org/10.1213/ANE.000000000000031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8169</Words>
  <Characters>46565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3</cp:revision>
  <cp:lastPrinted>2023-03-30T16:55:00Z</cp:lastPrinted>
  <dcterms:created xsi:type="dcterms:W3CDTF">2023-06-17T18:16:00Z</dcterms:created>
  <dcterms:modified xsi:type="dcterms:W3CDTF">2023-06-17T18:16:00Z</dcterms:modified>
</cp:coreProperties>
</file>