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30"/>
        <w:gridCol w:w="1597"/>
        <w:gridCol w:w="1597"/>
        <w:gridCol w:w="1719"/>
        <w:gridCol w:w="1719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Marijuana Use Frequency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821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non-user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29)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occasional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30)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daily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25)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84)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32.29 (4.70)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31.15 (4.75)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32.75 (5.71)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32.02 (5.02)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(42%)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(58%)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24.94 (4.72)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24.49 (3.96)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27.08 (4.26)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25.42 (4.41)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THC, post consumption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9.52 (12.20)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34.91 (37.26)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13.84 (25.82)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Delay post Consumption (mins)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63.93 (6.26)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60.16 (3.78)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40.74 (30.10)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2023-03-14T10:40:22Z</dcterms:modified>
  <cp:category/>
</cp:coreProperties>
</file>