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30"/>
        <w:gridCol w:w="1597"/>
        <w:gridCol w:w="1597"/>
        <w:gridCol w:w="1719"/>
        <w:gridCol w:w="1719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Marijuana Use Frequency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821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non-user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29)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occasional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30)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84)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 (4.70)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31.15 (4.75)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 (5.71)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32.02 (5.02)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(42%)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(58%)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24.94 (4.72)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 (3.96)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27.08 (4.26)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 (4.41)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THC, post consumption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 (12.20)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34.91 (37.26)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13.84 (25.82)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Delay post Consumption (mins)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63.93 (6.26)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60.16 (3.78)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40.74 (30.10)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2023-03-21T16:23:41Z</dcterms:modified>
  <cp:category/>
</cp:coreProperties>
</file>