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432"/>
        <w:gridCol w:w="2025"/>
        <w:gridCol w:w="2025"/>
        <w:gridCol w:w="2270"/>
        <w:gridCol w:w="2147"/>
        <w:gridCol w:w="1181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Cannabis Use Group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821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non-user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29)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occasional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30)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84)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32.29 (4.70)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31.15 (4.75)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32.75 (5.71)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32.02 (5.02)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24.94 (4.72)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 (3.96)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27.08 (4.26)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25.42 (4.41)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THC, after cannabis smoking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 (3.73, 9.47)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17.84 (8.20, 42.42)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 (0.00, 13.60)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Interval of pupillary measurements after initiation of cannabis smoking (mins)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63.93 (6.26)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60.16 (3.78)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40.74 (30.10)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(%); Median (IQR)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2023-07-03T13:20:32Z</dcterms:modified>
  <cp:category/>
</cp:coreProperties>
</file>