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32"/>
        <w:gridCol w:w="2025"/>
        <w:gridCol w:w="2025"/>
        <w:gridCol w:w="2270"/>
        <w:gridCol w:w="2147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Cannabis Use Group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after cannabis smoking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(3.73, 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 (8.20, 42.42)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(0.00, 13.60)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Interval of pupillary measurements after initiation of cannabis smoking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2023-06-07T15:31:33Z</dcterms:modified>
  <cp:category/>
</cp:coreProperties>
</file>