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30"/>
        <w:gridCol w:w="1597"/>
        <w:gridCol w:w="1597"/>
        <w:gridCol w:w="1719"/>
        <w:gridCol w:w="1719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Marijuana Use Frequency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821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non-user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29)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occasional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30)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daily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25)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84)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32.29 (4.70)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31.15 (4.75)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32.75 (5.71)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32.02 (5.02)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(42%)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(58%)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24.94 (4.72)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24.49 (3.96)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27.08 (4.26)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25.42 (4.41)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THC, post consumption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9.52 (12.20)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34.91 (37.26)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13.84 (25.82)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Delay post Consumption (mins)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63.93 (6.26)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60.16 (3.78)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40.74 (30.10)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2023-03-29T08:53:48Z</dcterms:modified>
  <cp:category/>
</cp:coreProperties>
</file>