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432"/>
        <w:gridCol w:w="2025"/>
        <w:gridCol w:w="2025"/>
        <w:gridCol w:w="2270"/>
        <w:gridCol w:w="2147"/>
        <w:gridCol w:w="1181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Cannabis Use Group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821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non-user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29)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occasional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30)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25)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 = 84)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32.29 (4.70)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31.15 (4.75)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32.75 (5.71)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32.02 (5.02)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24.94 (4.72)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24.49 (3.96)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27.08 (4.26)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25.42 (4.41)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THC, after cannabis smoking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(0.00, 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 (3.73, 9.47)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17.84 (8.20, 42.42)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 (0.00, 13.60)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Interval of pupillary measurements after initiation of cannabis smoking (mins)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 (0.00)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63.93 (6.26)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60.16 (3.78)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40.74 (30.10)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(%); Median (IQR)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2023-05-25T13:09:19Z</dcterms:modified>
  <cp:category/>
</cp:coreProperties>
</file>