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32"/>
        <w:gridCol w:w="2025"/>
        <w:gridCol w:w="2025"/>
        <w:gridCol w:w="2270"/>
        <w:gridCol w:w="2147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Cannabis Use Group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after cannabis smoking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(3.73, 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 (8.20, 42.42)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(0.00, 13.60)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Interval of pupillary measurements after initiation of cannabis smoking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2023-06-16T15:52:11Z</dcterms:modified>
  <cp:category/>
</cp:coreProperties>
</file>