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30"/>
        <w:gridCol w:w="1597"/>
        <w:gridCol w:w="1597"/>
        <w:gridCol w:w="1719"/>
        <w:gridCol w:w="1719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Marijuana Use Frequency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821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non-user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occasional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30)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84)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 (4.70)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31.15 (4.75)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 (5.71)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 (5.02)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(42%)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(58%)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 (3.96)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 (4.26)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 (4.41)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THC, post consumption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(12.20)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34.91 (37.26)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13.84 (25.82)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Delay post Consumption (mins)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63.93 (6.26)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60.16 (3.78)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40.74 (30.10)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2023-03-30T09:26:46Z</dcterms:modified>
  <cp:category/>
</cp:coreProperties>
</file>