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595959"/>
          <w:spacing w:val="40"/>
          <w:sz w:val="20"/>
          <w:szCs w:val="20"/>
        </w:rPr>
        <w:t xml:space="preserve">EXPLORATORY DATA ANALYSIS REPORT</w:t>
      </w:r>
    </w:p>
    <w:p>
      <w:pPr>
        <w:spacing w:after="60"/>
      </w:pPr>
      <w:r>
        <w:rPr>
          <w:rFonts w:ascii="Calibri" w:cs="Calibri" w:eastAsia="Calibri" w:hAnsi="Calibri"/>
          <w:b/>
          <w:bCs/>
          <w:color w:val="1F3A5F"/>
          <w:sz w:val="52"/>
          <w:szCs w:val="52"/>
        </w:rPr>
        <w:t xml:space="preserve">Movie Success Predictor</w:t>
      </w:r>
    </w:p>
    <w:p>
      <w:pPr>
        <w:pBdr>
          <w:bottom w:val="single" w:color="1F3A5F" w:sz="12" w:space="4"/>
        </w:pBdr>
        <w:spacing w:after="160"/>
      </w:pPr>
      <w:r>
        <w:rPr>
          <w:rFonts w:ascii="Calibri" w:cs="Calibri" w:eastAsia="Calibri" w:hAnsi="Calibri"/>
          <w:i/>
          <w:iCs/>
          <w:color w:val="595959"/>
          <w:sz w:val="24"/>
          <w:szCs w:val="24"/>
        </w:rPr>
        <w:t xml:space="preserve">What 4,998 films reveal about ratings, revenue and audience engagement</w:t>
      </w:r>
    </w:p>
    <w:p>
      <w:pPr>
        <w:pStyle w:val="Heading1"/>
        <w:pBdr>
          <w:bottom w:val="single" w:color="1F3A5F" w:sz="6" w:space="2"/>
        </w:pBdr>
        <w:spacing w:after="100" w:before="220"/>
      </w:pPr>
      <w:r>
        <w:rPr>
          <w:rFonts w:ascii="Calibri" w:cs="Calibri" w:eastAsia="Calibri" w:hAnsi="Calibri"/>
          <w:b/>
          <w:bCs/>
          <w:color w:val="1F3A5F"/>
          <w:sz w:val="28"/>
          <w:szCs w:val="28"/>
        </w:rPr>
        <w:t xml:space="preserve">1. Introduction and Objective</w:t>
      </w:r>
    </w:p>
    <w:p>
      <w:pPr>
        <w:spacing w:after="110" w:line="276"/>
        <w:jc w:val="both"/>
      </w:pPr>
      <w:r>
        <w:rPr>
          <w:rFonts w:ascii="Calibri" w:cs="Calibri" w:eastAsia="Calibri" w:hAnsi="Calibri"/>
          <w:sz w:val="21"/>
          <w:szCs w:val="21"/>
        </w:rPr>
        <w:t xml:space="preserve">This report summarises the exploratory data analysis (EDA) carried out in the Movie Success Predictor notebook. The goal of the notebook is to understand the structure, quality and behaviour of a movie-metadata dataset before any predictive model is built. Success is examined mainly through two target-like variables: the IMDb score (critical and audience reception) and gross revenue (commercial performance).</w:t>
      </w:r>
    </w:p>
    <w:p>
      <w:pPr>
        <w:spacing w:after="110" w:line="276"/>
        <w:jc w:val="both"/>
      </w:pPr>
      <w:r>
        <w:rPr>
          <w:rFonts w:ascii="Calibri" w:cs="Calibri" w:eastAsia="Calibri" w:hAnsi="Calibri"/>
          <w:sz w:val="21"/>
          <w:szCs w:val="21"/>
        </w:rPr>
        <w:t xml:space="preserve">The analysis covers data loading and inspection, quality checks (missing values, duplicates, zeros), descriptive statistics, distributions, outlier detection, correlations, and three focused views: budget versus gross, genre popularity, and the spread of IMDb scores.</w:t>
      </w:r>
    </w:p>
    <w:p>
      <w:pPr>
        <w:pStyle w:val="Heading1"/>
        <w:pBdr>
          <w:bottom w:val="single" w:color="1F3A5F" w:sz="6" w:space="2"/>
        </w:pBdr>
        <w:spacing w:after="100" w:before="220"/>
      </w:pPr>
      <w:r>
        <w:rPr>
          <w:rFonts w:ascii="Calibri" w:cs="Calibri" w:eastAsia="Calibri" w:hAnsi="Calibri"/>
          <w:b/>
          <w:bCs/>
          <w:color w:val="1F3A5F"/>
          <w:sz w:val="28"/>
          <w:szCs w:val="28"/>
        </w:rPr>
        <w:t xml:space="preserve">2. Dataset Overview</w:t>
      </w:r>
    </w:p>
    <w:p>
      <w:pPr>
        <w:spacing w:after="110" w:line="276"/>
        <w:jc w:val="both"/>
      </w:pPr>
      <w:r>
        <w:rPr>
          <w:rFonts w:ascii="Calibri" w:cs="Calibri" w:eastAsia="Calibri" w:hAnsi="Calibri"/>
          <w:sz w:val="21"/>
          <w:szCs w:val="21"/>
        </w:rPr>
        <w:t xml:space="preserve">The dataset (movie_metadata_no_duplicates.csv) contains 4,998 movies described by 28 columns. Of these, 16 are numeric (for example budget, gross, duration, imdb_score and several Facebook-likes counts) and 12 are text fields such as director and actor names, genres, plot keywords, language, country and content rating. Releases span 1916 to 2016, with the median film released in 2005 and the bulk of titles coming from the last two decades.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00"/>
        <w:gridCol w:w="6346"/>
      </w:tblGrid>
      <w:tr>
        <w:trPr>
          <w:tblHeader/>
        </w:trPr>
        <w:tc>
          <w:tcPr>
            <w:tcW w:type="dxa" w:w="3400"/>
            <w:tcBorders>
              <w:top w:val="single" w:color="BFBFBF" w:sz="4"/>
              <w:left w:val="single" w:color="BFBFBF" w:sz="4"/>
              <w:bottom w:val="single" w:color="BFBFBF" w:sz="4"/>
              <w:right w:val="single" w:color="BFBFBF" w:sz="4"/>
            </w:tcBorders>
            <w:shd w:fill="1F3A5F" w:color="auto" w:val="clear"/>
            <w:tcMar>
              <w:top w:type="dxa" w:w="50"/>
              <w:left w:type="dxa" w:w="100"/>
              <w:bottom w:type="dxa" w:w="50"/>
              <w:right w:type="dxa" w:w="100"/>
            </w:tcMar>
          </w:tcPr>
          <w:p>
            <w:pPr>
              <w:jc w:val="left"/>
            </w:pPr>
            <w:r>
              <w:rPr>
                <w:rFonts w:ascii="Calibri" w:cs="Calibri" w:eastAsia="Calibri" w:hAnsi="Calibri"/>
                <w:b/>
                <w:bCs/>
                <w:color w:val="FFFFFF"/>
                <w:sz w:val="19"/>
                <w:szCs w:val="19"/>
              </w:rPr>
              <w:t xml:space="preserve">Attribute</w:t>
            </w:r>
          </w:p>
        </w:tc>
        <w:tc>
          <w:tcPr>
            <w:tcW w:type="dxa" w:w="6346"/>
            <w:tcBorders>
              <w:top w:val="single" w:color="BFBFBF" w:sz="4"/>
              <w:left w:val="single" w:color="BFBFBF" w:sz="4"/>
              <w:bottom w:val="single" w:color="BFBFBF" w:sz="4"/>
              <w:right w:val="single" w:color="BFBFBF" w:sz="4"/>
            </w:tcBorders>
            <w:shd w:fill="1F3A5F" w:color="auto" w:val="clear"/>
            <w:tcMar>
              <w:top w:type="dxa" w:w="50"/>
              <w:left w:type="dxa" w:w="100"/>
              <w:bottom w:type="dxa" w:w="50"/>
              <w:right w:type="dxa" w:w="100"/>
            </w:tcMar>
          </w:tcPr>
          <w:p>
            <w:pPr>
              <w:jc w:val="center"/>
            </w:pPr>
            <w:r>
              <w:rPr>
                <w:rFonts w:ascii="Calibri" w:cs="Calibri" w:eastAsia="Calibri" w:hAnsi="Calibri"/>
                <w:b/>
                <w:bCs/>
                <w:color w:val="FFFFFF"/>
                <w:sz w:val="19"/>
                <w:szCs w:val="19"/>
              </w:rPr>
              <w:t xml:space="preserve">Value</w:t>
            </w:r>
          </w:p>
        </w:tc>
      </w:tr>
      <w:tr>
        <w:tc>
          <w:tcPr>
            <w:tcW w:type="dxa" w:w="34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left"/>
            </w:pPr>
            <w:r>
              <w:rPr>
                <w:rFonts w:ascii="Calibri" w:cs="Calibri" w:eastAsia="Calibri" w:hAnsi="Calibri"/>
                <w:b w:val="false"/>
                <w:bCs w:val="false"/>
                <w:color w:val="000000"/>
                <w:sz w:val="19"/>
                <w:szCs w:val="19"/>
              </w:rPr>
              <w:t xml:space="preserve">Rows x columns</w:t>
            </w:r>
          </w:p>
        </w:tc>
        <w:tc>
          <w:tcPr>
            <w:tcW w:type="dxa" w:w="6346"/>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center"/>
            </w:pPr>
            <w:r>
              <w:rPr>
                <w:rFonts w:ascii="Calibri" w:cs="Calibri" w:eastAsia="Calibri" w:hAnsi="Calibri"/>
                <w:b w:val="false"/>
                <w:bCs w:val="false"/>
                <w:color w:val="000000"/>
                <w:sz w:val="19"/>
                <w:szCs w:val="19"/>
              </w:rPr>
              <w:t xml:space="preserve">4,998 x 28</w:t>
            </w:r>
          </w:p>
        </w:tc>
      </w:tr>
      <w:tr>
        <w:tc>
          <w:tcPr>
            <w:tcW w:type="dxa" w:w="34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left"/>
            </w:pPr>
            <w:r>
              <w:rPr>
                <w:rFonts w:ascii="Calibri" w:cs="Calibri" w:eastAsia="Calibri" w:hAnsi="Calibri"/>
                <w:b w:val="false"/>
                <w:bCs w:val="false"/>
                <w:color w:val="000000"/>
                <w:sz w:val="19"/>
                <w:szCs w:val="19"/>
              </w:rPr>
              <w:t xml:space="preserve">Release years covered</w:t>
            </w:r>
          </w:p>
        </w:tc>
        <w:tc>
          <w:tcPr>
            <w:tcW w:type="dxa" w:w="6346"/>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center"/>
            </w:pPr>
            <w:r>
              <w:rPr>
                <w:rFonts w:ascii="Calibri" w:cs="Calibri" w:eastAsia="Calibri" w:hAnsi="Calibri"/>
                <w:b w:val="false"/>
                <w:bCs w:val="false"/>
                <w:color w:val="000000"/>
                <w:sz w:val="19"/>
                <w:szCs w:val="19"/>
              </w:rPr>
              <w:t xml:space="preserve">1916 - 2016 (median 2005)</w:t>
            </w:r>
          </w:p>
        </w:tc>
      </w:tr>
      <w:tr>
        <w:tc>
          <w:tcPr>
            <w:tcW w:type="dxa" w:w="34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left"/>
            </w:pPr>
            <w:r>
              <w:rPr>
                <w:rFonts w:ascii="Calibri" w:cs="Calibri" w:eastAsia="Calibri" w:hAnsi="Calibri"/>
                <w:b w:val="false"/>
                <w:bCs w:val="false"/>
                <w:color w:val="000000"/>
                <w:sz w:val="19"/>
                <w:szCs w:val="19"/>
              </w:rPr>
              <w:t xml:space="preserve">Colour vs black-and-white</w:t>
            </w:r>
          </w:p>
        </w:tc>
        <w:tc>
          <w:tcPr>
            <w:tcW w:type="dxa" w:w="6346"/>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center"/>
            </w:pPr>
            <w:r>
              <w:rPr>
                <w:rFonts w:ascii="Calibri" w:cs="Calibri" w:eastAsia="Calibri" w:hAnsi="Calibri"/>
                <w:b w:val="false"/>
                <w:bCs w:val="false"/>
                <w:color w:val="000000"/>
                <w:sz w:val="19"/>
                <w:szCs w:val="19"/>
              </w:rPr>
              <w:t xml:space="preserve">4,791 colour / 207 black-and-white</w:t>
            </w:r>
          </w:p>
        </w:tc>
      </w:tr>
      <w:tr>
        <w:tc>
          <w:tcPr>
            <w:tcW w:type="dxa" w:w="34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left"/>
            </w:pPr>
            <w:r>
              <w:rPr>
                <w:rFonts w:ascii="Calibri" w:cs="Calibri" w:eastAsia="Calibri" w:hAnsi="Calibri"/>
                <w:b w:val="false"/>
                <w:bCs w:val="false"/>
                <w:color w:val="000000"/>
                <w:sz w:val="19"/>
                <w:szCs w:val="19"/>
              </w:rPr>
              <w:t xml:space="preserve">Language</w:t>
            </w:r>
          </w:p>
        </w:tc>
        <w:tc>
          <w:tcPr>
            <w:tcW w:type="dxa" w:w="6346"/>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center"/>
            </w:pPr>
            <w:r>
              <w:rPr>
                <w:rFonts w:ascii="Calibri" w:cs="Calibri" w:eastAsia="Calibri" w:hAnsi="Calibri"/>
                <w:b w:val="false"/>
                <w:bCs w:val="false"/>
                <w:color w:val="000000"/>
                <w:sz w:val="19"/>
                <w:szCs w:val="19"/>
              </w:rPr>
              <w:t xml:space="preserve">English 4,676 (about 94%); French 73; Spanish 40; Hindi 28</w:t>
            </w:r>
          </w:p>
        </w:tc>
      </w:tr>
      <w:tr>
        <w:tc>
          <w:tcPr>
            <w:tcW w:type="dxa" w:w="34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left"/>
            </w:pPr>
            <w:r>
              <w:rPr>
                <w:rFonts w:ascii="Calibri" w:cs="Calibri" w:eastAsia="Calibri" w:hAnsi="Calibri"/>
                <w:b w:val="false"/>
                <w:bCs w:val="false"/>
                <w:color w:val="000000"/>
                <w:sz w:val="19"/>
                <w:szCs w:val="19"/>
              </w:rPr>
              <w:t xml:space="preserve">Most frequent genre combinations</w:t>
            </w:r>
          </w:p>
        </w:tc>
        <w:tc>
          <w:tcPr>
            <w:tcW w:type="dxa" w:w="6346"/>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center"/>
            </w:pPr>
            <w:r>
              <w:rPr>
                <w:rFonts w:ascii="Calibri" w:cs="Calibri" w:eastAsia="Calibri" w:hAnsi="Calibri"/>
                <w:b w:val="false"/>
                <w:bCs w:val="false"/>
                <w:color w:val="000000"/>
                <w:sz w:val="19"/>
                <w:szCs w:val="19"/>
              </w:rPr>
              <w:t xml:space="preserve">Drama (235), Comedy (205), Comedy|Drama (189)</w:t>
            </w:r>
          </w:p>
        </w:tc>
      </w:tr>
    </w:tbl>
    <w:p>
      <w:pPr>
        <w:spacing w:after="80"/>
      </w:pPr>
    </w:p>
    <w:p>
      <w:pPr>
        <w:pStyle w:val="Heading1"/>
        <w:pBdr>
          <w:bottom w:val="single" w:color="1F3A5F" w:sz="6" w:space="2"/>
        </w:pBdr>
        <w:spacing w:after="100" w:before="220"/>
      </w:pPr>
      <w:r>
        <w:rPr>
          <w:rFonts w:ascii="Calibri" w:cs="Calibri" w:eastAsia="Calibri" w:hAnsi="Calibri"/>
          <w:b/>
          <w:bCs/>
          <w:color w:val="1F3A5F"/>
          <w:sz w:val="28"/>
          <w:szCs w:val="28"/>
        </w:rPr>
        <w:t xml:space="preserve">3. Data Quality Assessment</w:t>
      </w:r>
    </w:p>
    <w:p>
      <w:pPr>
        <w:spacing w:after="110" w:line="276"/>
        <w:jc w:val="both"/>
      </w:pPr>
      <w:r>
        <w:rPr>
          <w:rFonts w:ascii="Calibri" w:cs="Calibri" w:eastAsia="Calibri" w:hAnsi="Calibri"/>
          <w:sz w:val="21"/>
          <w:szCs w:val="21"/>
        </w:rPr>
        <w:t xml:space="preserve">The dataset is structurally clean: there are no missing values in any of the 28 columns and no fully duplicated rows. The main quality concern is the large number of zeros in the social-media style numeric fields, which most likely represent "not recorded" rather than a true zero.</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200"/>
        <w:gridCol w:w="2773"/>
        <w:gridCol w:w="2773"/>
      </w:tblGrid>
      <w:tr>
        <w:trPr>
          <w:tblHeader/>
        </w:trPr>
        <w:tc>
          <w:tcPr>
            <w:tcW w:type="dxa" w:w="4200"/>
            <w:tcBorders>
              <w:top w:val="single" w:color="BFBFBF" w:sz="4"/>
              <w:left w:val="single" w:color="BFBFBF" w:sz="4"/>
              <w:bottom w:val="single" w:color="BFBFBF" w:sz="4"/>
              <w:right w:val="single" w:color="BFBFBF" w:sz="4"/>
            </w:tcBorders>
            <w:shd w:fill="1F3A5F" w:color="auto" w:val="clear"/>
            <w:tcMar>
              <w:top w:type="dxa" w:w="50"/>
              <w:left w:type="dxa" w:w="100"/>
              <w:bottom w:type="dxa" w:w="50"/>
              <w:right w:type="dxa" w:w="100"/>
            </w:tcMar>
          </w:tcPr>
          <w:p>
            <w:pPr>
              <w:jc w:val="left"/>
            </w:pPr>
            <w:r>
              <w:rPr>
                <w:rFonts w:ascii="Calibri" w:cs="Calibri" w:eastAsia="Calibri" w:hAnsi="Calibri"/>
                <w:b/>
                <w:bCs/>
                <w:color w:val="FFFFFF"/>
                <w:sz w:val="19"/>
                <w:szCs w:val="19"/>
              </w:rPr>
              <w:t xml:space="preserve">Column</w:t>
            </w:r>
          </w:p>
        </w:tc>
        <w:tc>
          <w:tcPr>
            <w:tcW w:type="dxa" w:w="2773"/>
            <w:tcBorders>
              <w:top w:val="single" w:color="BFBFBF" w:sz="4"/>
              <w:left w:val="single" w:color="BFBFBF" w:sz="4"/>
              <w:bottom w:val="single" w:color="BFBFBF" w:sz="4"/>
              <w:right w:val="single" w:color="BFBFBF" w:sz="4"/>
            </w:tcBorders>
            <w:shd w:fill="1F3A5F" w:color="auto" w:val="clear"/>
            <w:tcMar>
              <w:top w:type="dxa" w:w="50"/>
              <w:left w:type="dxa" w:w="100"/>
              <w:bottom w:type="dxa" w:w="50"/>
              <w:right w:type="dxa" w:w="100"/>
            </w:tcMar>
          </w:tcPr>
          <w:p>
            <w:pPr>
              <w:jc w:val="center"/>
            </w:pPr>
            <w:r>
              <w:rPr>
                <w:rFonts w:ascii="Calibri" w:cs="Calibri" w:eastAsia="Calibri" w:hAnsi="Calibri"/>
                <w:b/>
                <w:bCs/>
                <w:color w:val="FFFFFF"/>
                <w:sz w:val="19"/>
                <w:szCs w:val="19"/>
              </w:rPr>
              <w:t xml:space="preserve">Zero values</w:t>
            </w:r>
          </w:p>
        </w:tc>
        <w:tc>
          <w:tcPr>
            <w:tcW w:type="dxa" w:w="2773"/>
            <w:tcBorders>
              <w:top w:val="single" w:color="BFBFBF" w:sz="4"/>
              <w:left w:val="single" w:color="BFBFBF" w:sz="4"/>
              <w:bottom w:val="single" w:color="BFBFBF" w:sz="4"/>
              <w:right w:val="single" w:color="BFBFBF" w:sz="4"/>
            </w:tcBorders>
            <w:shd w:fill="1F3A5F" w:color="auto" w:val="clear"/>
            <w:tcMar>
              <w:top w:type="dxa" w:w="50"/>
              <w:left w:type="dxa" w:w="100"/>
              <w:bottom w:type="dxa" w:w="50"/>
              <w:right w:type="dxa" w:w="100"/>
            </w:tcMar>
          </w:tcPr>
          <w:p>
            <w:pPr>
              <w:jc w:val="center"/>
            </w:pPr>
            <w:r>
              <w:rPr>
                <w:rFonts w:ascii="Calibri" w:cs="Calibri" w:eastAsia="Calibri" w:hAnsi="Calibri"/>
                <w:b/>
                <w:bCs/>
                <w:color w:val="FFFFFF"/>
                <w:sz w:val="19"/>
                <w:szCs w:val="19"/>
              </w:rPr>
              <w:t xml:space="preserve">Share of rows</w:t>
            </w:r>
          </w:p>
        </w:tc>
      </w:tr>
      <w:tr>
        <w:tc>
          <w:tcPr>
            <w:tcW w:type="dxa" w:w="42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left"/>
            </w:pPr>
            <w:r>
              <w:rPr>
                <w:rFonts w:ascii="Calibri" w:cs="Calibri" w:eastAsia="Calibri" w:hAnsi="Calibri"/>
                <w:b w:val="false"/>
                <w:bCs w:val="false"/>
                <w:color w:val="000000"/>
                <w:sz w:val="19"/>
                <w:szCs w:val="19"/>
              </w:rPr>
              <w:t xml:space="preserve">movie_facebook_likes</w:t>
            </w:r>
          </w:p>
        </w:tc>
        <w:tc>
          <w:tcPr>
            <w:tcW w:type="dxa" w:w="2773"/>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center"/>
            </w:pPr>
            <w:r>
              <w:rPr>
                <w:rFonts w:ascii="Calibri" w:cs="Calibri" w:eastAsia="Calibri" w:hAnsi="Calibri"/>
                <w:b w:val="false"/>
                <w:bCs w:val="false"/>
                <w:color w:val="000000"/>
                <w:sz w:val="19"/>
                <w:szCs w:val="19"/>
              </w:rPr>
              <w:t xml:space="preserve">2,162</w:t>
            </w:r>
          </w:p>
        </w:tc>
        <w:tc>
          <w:tcPr>
            <w:tcW w:type="dxa" w:w="2773"/>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center"/>
            </w:pPr>
            <w:r>
              <w:rPr>
                <w:rFonts w:ascii="Calibri" w:cs="Calibri" w:eastAsia="Calibri" w:hAnsi="Calibri"/>
                <w:b w:val="false"/>
                <w:bCs w:val="false"/>
                <w:color w:val="000000"/>
                <w:sz w:val="19"/>
                <w:szCs w:val="19"/>
              </w:rPr>
              <w:t xml:space="preserve">43.3%</w:t>
            </w:r>
          </w:p>
        </w:tc>
      </w:tr>
      <w:tr>
        <w:tc>
          <w:tcPr>
            <w:tcW w:type="dxa" w:w="42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left"/>
            </w:pPr>
            <w:r>
              <w:rPr>
                <w:rFonts w:ascii="Calibri" w:cs="Calibri" w:eastAsia="Calibri" w:hAnsi="Calibri"/>
                <w:b w:val="false"/>
                <w:bCs w:val="false"/>
                <w:color w:val="000000"/>
                <w:sz w:val="19"/>
                <w:szCs w:val="19"/>
              </w:rPr>
              <w:t xml:space="preserve">facenumber_in_poster</w:t>
            </w:r>
          </w:p>
        </w:tc>
        <w:tc>
          <w:tcPr>
            <w:tcW w:type="dxa" w:w="2773"/>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center"/>
            </w:pPr>
            <w:r>
              <w:rPr>
                <w:rFonts w:ascii="Calibri" w:cs="Calibri" w:eastAsia="Calibri" w:hAnsi="Calibri"/>
                <w:b w:val="false"/>
                <w:bCs w:val="false"/>
                <w:color w:val="000000"/>
                <w:sz w:val="19"/>
                <w:szCs w:val="19"/>
              </w:rPr>
              <w:t xml:space="preserve">2,136</w:t>
            </w:r>
          </w:p>
        </w:tc>
        <w:tc>
          <w:tcPr>
            <w:tcW w:type="dxa" w:w="2773"/>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center"/>
            </w:pPr>
            <w:r>
              <w:rPr>
                <w:rFonts w:ascii="Calibri" w:cs="Calibri" w:eastAsia="Calibri" w:hAnsi="Calibri"/>
                <w:b w:val="false"/>
                <w:bCs w:val="false"/>
                <w:color w:val="000000"/>
                <w:sz w:val="19"/>
                <w:szCs w:val="19"/>
              </w:rPr>
              <w:t xml:space="preserve">42.7%</w:t>
            </w:r>
          </w:p>
        </w:tc>
      </w:tr>
      <w:tr>
        <w:tc>
          <w:tcPr>
            <w:tcW w:type="dxa" w:w="42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left"/>
            </w:pPr>
            <w:r>
              <w:rPr>
                <w:rFonts w:ascii="Calibri" w:cs="Calibri" w:eastAsia="Calibri" w:hAnsi="Calibri"/>
                <w:b w:val="false"/>
                <w:bCs w:val="false"/>
                <w:color w:val="000000"/>
                <w:sz w:val="19"/>
                <w:szCs w:val="19"/>
              </w:rPr>
              <w:t xml:space="preserve">director_facebook_likes</w:t>
            </w:r>
          </w:p>
        </w:tc>
        <w:tc>
          <w:tcPr>
            <w:tcW w:type="dxa" w:w="2773"/>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center"/>
            </w:pPr>
            <w:r>
              <w:rPr>
                <w:rFonts w:ascii="Calibri" w:cs="Calibri" w:eastAsia="Calibri" w:hAnsi="Calibri"/>
                <w:b w:val="false"/>
                <w:bCs w:val="false"/>
                <w:color w:val="000000"/>
                <w:sz w:val="19"/>
                <w:szCs w:val="19"/>
              </w:rPr>
              <w:t xml:space="preserve">897</w:t>
            </w:r>
          </w:p>
        </w:tc>
        <w:tc>
          <w:tcPr>
            <w:tcW w:type="dxa" w:w="2773"/>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center"/>
            </w:pPr>
            <w:r>
              <w:rPr>
                <w:rFonts w:ascii="Calibri" w:cs="Calibri" w:eastAsia="Calibri" w:hAnsi="Calibri"/>
                <w:b w:val="false"/>
                <w:bCs w:val="false"/>
                <w:color w:val="000000"/>
                <w:sz w:val="19"/>
                <w:szCs w:val="19"/>
              </w:rPr>
              <w:t xml:space="preserve">17.9%</w:t>
            </w:r>
          </w:p>
        </w:tc>
      </w:tr>
      <w:tr>
        <w:tc>
          <w:tcPr>
            <w:tcW w:type="dxa" w:w="42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left"/>
            </w:pPr>
            <w:r>
              <w:rPr>
                <w:rFonts w:ascii="Calibri" w:cs="Calibri" w:eastAsia="Calibri" w:hAnsi="Calibri"/>
                <w:b w:val="false"/>
                <w:bCs w:val="false"/>
                <w:color w:val="000000"/>
                <w:sz w:val="19"/>
                <w:szCs w:val="19"/>
              </w:rPr>
              <w:t xml:space="preserve">actor_3_facebook_likes</w:t>
            </w:r>
          </w:p>
        </w:tc>
        <w:tc>
          <w:tcPr>
            <w:tcW w:type="dxa" w:w="2773"/>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center"/>
            </w:pPr>
            <w:r>
              <w:rPr>
                <w:rFonts w:ascii="Calibri" w:cs="Calibri" w:eastAsia="Calibri" w:hAnsi="Calibri"/>
                <w:b w:val="false"/>
                <w:bCs w:val="false"/>
                <w:color w:val="000000"/>
                <w:sz w:val="19"/>
                <w:szCs w:val="19"/>
              </w:rPr>
              <w:t xml:space="preserve">89</w:t>
            </w:r>
          </w:p>
        </w:tc>
        <w:tc>
          <w:tcPr>
            <w:tcW w:type="dxa" w:w="2773"/>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center"/>
            </w:pPr>
            <w:r>
              <w:rPr>
                <w:rFonts w:ascii="Calibri" w:cs="Calibri" w:eastAsia="Calibri" w:hAnsi="Calibri"/>
                <w:b w:val="false"/>
                <w:bCs w:val="false"/>
                <w:color w:val="000000"/>
                <w:sz w:val="19"/>
                <w:szCs w:val="19"/>
              </w:rPr>
              <w:t xml:space="preserve">1.8%</w:t>
            </w:r>
          </w:p>
        </w:tc>
      </w:tr>
      <w:tr>
        <w:tc>
          <w:tcPr>
            <w:tcW w:type="dxa" w:w="42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left"/>
            </w:pPr>
            <w:r>
              <w:rPr>
                <w:rFonts w:ascii="Calibri" w:cs="Calibri" w:eastAsia="Calibri" w:hAnsi="Calibri"/>
                <w:b w:val="false"/>
                <w:bCs w:val="false"/>
                <w:color w:val="000000"/>
                <w:sz w:val="19"/>
                <w:szCs w:val="19"/>
              </w:rPr>
              <w:t xml:space="preserve">actor_2_facebook_likes</w:t>
            </w:r>
          </w:p>
        </w:tc>
        <w:tc>
          <w:tcPr>
            <w:tcW w:type="dxa" w:w="2773"/>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center"/>
            </w:pPr>
            <w:r>
              <w:rPr>
                <w:rFonts w:ascii="Calibri" w:cs="Calibri" w:eastAsia="Calibri" w:hAnsi="Calibri"/>
                <w:b w:val="false"/>
                <w:bCs w:val="false"/>
                <w:color w:val="000000"/>
                <w:sz w:val="19"/>
                <w:szCs w:val="19"/>
              </w:rPr>
              <w:t xml:space="preserve">55</w:t>
            </w:r>
          </w:p>
        </w:tc>
        <w:tc>
          <w:tcPr>
            <w:tcW w:type="dxa" w:w="2773"/>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center"/>
            </w:pPr>
            <w:r>
              <w:rPr>
                <w:rFonts w:ascii="Calibri" w:cs="Calibri" w:eastAsia="Calibri" w:hAnsi="Calibri"/>
                <w:b w:val="false"/>
                <w:bCs w:val="false"/>
                <w:color w:val="000000"/>
                <w:sz w:val="19"/>
                <w:szCs w:val="19"/>
              </w:rPr>
              <w:t xml:space="preserve">1.1%</w:t>
            </w:r>
          </w:p>
        </w:tc>
      </w:tr>
    </w:tbl>
    <w:p>
      <w:pPr>
        <w:spacing w:after="80"/>
      </w:pPr>
    </w:p>
    <w:p>
      <w:pPr>
        <w:spacing w:after="110" w:line="276"/>
        <w:jc w:val="both"/>
      </w:pPr>
      <w:r>
        <w:rPr>
          <w:rFonts w:ascii="Calibri" w:cs="Calibri" w:eastAsia="Calibri" w:hAnsi="Calibri"/>
          <w:b/>
          <w:bCs/>
          <w:sz w:val="21"/>
          <w:szCs w:val="21"/>
        </w:rPr>
        <w:t xml:space="preserve">Points worth flagging: </w:t>
      </w:r>
      <w:r>
        <w:rPr>
          <w:rFonts w:ascii="Calibri" w:cs="Calibri" w:eastAsia="Calibri" w:hAnsi="Calibri"/>
          <w:sz w:val="21"/>
          <w:szCs w:val="21"/>
        </w:rPr>
        <w:t xml:space="preserve">(i) the absence of nulls combined with values such as 371.5 in count columns suggests that imputation (for example median fill) was applied before the file was shared; (ii) some titles still repeat (King Kong, Home and Ben-Hur appear three times each) and share the same IMDb link, so near-duplicate records may exist even though no row is an exact copy; (iii) the director and third-actor frequency tables show unusually large counts for single names (Steven Spielberg 129 films, Ben Mendelsohn 31), which are worth verifying against the source.</w:t>
      </w:r>
    </w:p>
    <w:p>
      <w:pPr>
        <w:pStyle w:val="Heading1"/>
        <w:pBdr>
          <w:bottom w:val="single" w:color="1F3A5F" w:sz="6" w:space="2"/>
        </w:pBdr>
        <w:spacing w:after="100" w:before="220"/>
      </w:pPr>
      <w:r>
        <w:rPr>
          <w:rFonts w:ascii="Calibri" w:cs="Calibri" w:eastAsia="Calibri" w:hAnsi="Calibri"/>
          <w:b/>
          <w:bCs/>
          <w:color w:val="1F3A5F"/>
          <w:sz w:val="28"/>
          <w:szCs w:val="28"/>
        </w:rPr>
        <w:t xml:space="preserve">4. Descriptive Statistics</w:t>
      </w:r>
    </w:p>
    <w:p>
      <w:pPr>
        <w:spacing w:after="110" w:line="276"/>
        <w:jc w:val="both"/>
      </w:pPr>
      <w:r>
        <w:rPr>
          <w:rFonts w:ascii="Calibri" w:cs="Calibri" w:eastAsia="Calibri" w:hAnsi="Calibri"/>
          <w:sz w:val="21"/>
          <w:szCs w:val="21"/>
        </w:rPr>
        <w:t xml:space="preserve">Key numeric variables are summarised below. Gross revenue and budget are strongly right-skewed: the mean sits well above the median, and the maximum is many times larger than the 75th percentile. IMDb scores, in contrast, are centred and fairly symmetric.</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46"/>
        <w:gridCol w:w="1400"/>
        <w:gridCol w:w="1400"/>
        <w:gridCol w:w="1500"/>
        <w:gridCol w:w="1200"/>
        <w:gridCol w:w="1700"/>
      </w:tblGrid>
      <w:tr>
        <w:trPr>
          <w:tblHeader/>
        </w:trPr>
        <w:tc>
          <w:tcPr>
            <w:tcW w:type="dxa" w:w="2546"/>
            <w:tcBorders>
              <w:top w:val="single" w:color="BFBFBF" w:sz="4"/>
              <w:left w:val="single" w:color="BFBFBF" w:sz="4"/>
              <w:bottom w:val="single" w:color="BFBFBF" w:sz="4"/>
              <w:right w:val="single" w:color="BFBFBF" w:sz="4"/>
            </w:tcBorders>
            <w:shd w:fill="1F3A5F" w:color="auto" w:val="clear"/>
            <w:tcMar>
              <w:top w:type="dxa" w:w="50"/>
              <w:left w:type="dxa" w:w="100"/>
              <w:bottom w:type="dxa" w:w="50"/>
              <w:right w:type="dxa" w:w="100"/>
            </w:tcMar>
          </w:tcPr>
          <w:p>
            <w:pPr>
              <w:jc w:val="left"/>
            </w:pPr>
            <w:r>
              <w:rPr>
                <w:rFonts w:ascii="Calibri" w:cs="Calibri" w:eastAsia="Calibri" w:hAnsi="Calibri"/>
                <w:b/>
                <w:bCs/>
                <w:color w:val="FFFFFF"/>
                <w:sz w:val="19"/>
                <w:szCs w:val="19"/>
              </w:rPr>
              <w:t xml:space="preserve">Variable</w:t>
            </w:r>
          </w:p>
        </w:tc>
        <w:tc>
          <w:tcPr>
            <w:tcW w:type="dxa" w:w="1400"/>
            <w:tcBorders>
              <w:top w:val="single" w:color="BFBFBF" w:sz="4"/>
              <w:left w:val="single" w:color="BFBFBF" w:sz="4"/>
              <w:bottom w:val="single" w:color="BFBFBF" w:sz="4"/>
              <w:right w:val="single" w:color="BFBFBF" w:sz="4"/>
            </w:tcBorders>
            <w:shd w:fill="1F3A5F" w:color="auto" w:val="clear"/>
            <w:tcMar>
              <w:top w:type="dxa" w:w="50"/>
              <w:left w:type="dxa" w:w="100"/>
              <w:bottom w:type="dxa" w:w="50"/>
              <w:right w:type="dxa" w:w="100"/>
            </w:tcMar>
          </w:tcPr>
          <w:p>
            <w:pPr>
              <w:jc w:val="center"/>
            </w:pPr>
            <w:r>
              <w:rPr>
                <w:rFonts w:ascii="Calibri" w:cs="Calibri" w:eastAsia="Calibri" w:hAnsi="Calibri"/>
                <w:b/>
                <w:bCs/>
                <w:color w:val="FFFFFF"/>
                <w:sz w:val="19"/>
                <w:szCs w:val="19"/>
              </w:rPr>
              <w:t xml:space="preserve">Mean</w:t>
            </w:r>
          </w:p>
        </w:tc>
        <w:tc>
          <w:tcPr>
            <w:tcW w:type="dxa" w:w="1400"/>
            <w:tcBorders>
              <w:top w:val="single" w:color="BFBFBF" w:sz="4"/>
              <w:left w:val="single" w:color="BFBFBF" w:sz="4"/>
              <w:bottom w:val="single" w:color="BFBFBF" w:sz="4"/>
              <w:right w:val="single" w:color="BFBFBF" w:sz="4"/>
            </w:tcBorders>
            <w:shd w:fill="1F3A5F" w:color="auto" w:val="clear"/>
            <w:tcMar>
              <w:top w:type="dxa" w:w="50"/>
              <w:left w:type="dxa" w:w="100"/>
              <w:bottom w:type="dxa" w:w="50"/>
              <w:right w:type="dxa" w:w="100"/>
            </w:tcMar>
          </w:tcPr>
          <w:p>
            <w:pPr>
              <w:jc w:val="center"/>
            </w:pPr>
            <w:r>
              <w:rPr>
                <w:rFonts w:ascii="Calibri" w:cs="Calibri" w:eastAsia="Calibri" w:hAnsi="Calibri"/>
                <w:b/>
                <w:bCs/>
                <w:color w:val="FFFFFF"/>
                <w:sz w:val="19"/>
                <w:szCs w:val="19"/>
              </w:rPr>
              <w:t xml:space="preserve">Median</w:t>
            </w:r>
          </w:p>
        </w:tc>
        <w:tc>
          <w:tcPr>
            <w:tcW w:type="dxa" w:w="1500"/>
            <w:tcBorders>
              <w:top w:val="single" w:color="BFBFBF" w:sz="4"/>
              <w:left w:val="single" w:color="BFBFBF" w:sz="4"/>
              <w:bottom w:val="single" w:color="BFBFBF" w:sz="4"/>
              <w:right w:val="single" w:color="BFBFBF" w:sz="4"/>
            </w:tcBorders>
            <w:shd w:fill="1F3A5F" w:color="auto" w:val="clear"/>
            <w:tcMar>
              <w:top w:type="dxa" w:w="50"/>
              <w:left w:type="dxa" w:w="100"/>
              <w:bottom w:type="dxa" w:w="50"/>
              <w:right w:type="dxa" w:w="100"/>
            </w:tcMar>
          </w:tcPr>
          <w:p>
            <w:pPr>
              <w:jc w:val="center"/>
            </w:pPr>
            <w:r>
              <w:rPr>
                <w:rFonts w:ascii="Calibri" w:cs="Calibri" w:eastAsia="Calibri" w:hAnsi="Calibri"/>
                <w:b/>
                <w:bCs/>
                <w:color w:val="FFFFFF"/>
                <w:sz w:val="19"/>
                <w:szCs w:val="19"/>
              </w:rPr>
              <w:t xml:space="preserve">Std. dev.</w:t>
            </w:r>
          </w:p>
        </w:tc>
        <w:tc>
          <w:tcPr>
            <w:tcW w:type="dxa" w:w="1200"/>
            <w:tcBorders>
              <w:top w:val="single" w:color="BFBFBF" w:sz="4"/>
              <w:left w:val="single" w:color="BFBFBF" w:sz="4"/>
              <w:bottom w:val="single" w:color="BFBFBF" w:sz="4"/>
              <w:right w:val="single" w:color="BFBFBF" w:sz="4"/>
            </w:tcBorders>
            <w:shd w:fill="1F3A5F" w:color="auto" w:val="clear"/>
            <w:tcMar>
              <w:top w:type="dxa" w:w="50"/>
              <w:left w:type="dxa" w:w="100"/>
              <w:bottom w:type="dxa" w:w="50"/>
              <w:right w:type="dxa" w:w="100"/>
            </w:tcMar>
          </w:tcPr>
          <w:p>
            <w:pPr>
              <w:jc w:val="center"/>
            </w:pPr>
            <w:r>
              <w:rPr>
                <w:rFonts w:ascii="Calibri" w:cs="Calibri" w:eastAsia="Calibri" w:hAnsi="Calibri"/>
                <w:b/>
                <w:bCs/>
                <w:color w:val="FFFFFF"/>
                <w:sz w:val="19"/>
                <w:szCs w:val="19"/>
              </w:rPr>
              <w:t xml:space="preserve">Min</w:t>
            </w:r>
          </w:p>
        </w:tc>
        <w:tc>
          <w:tcPr>
            <w:tcW w:type="dxa" w:w="1700"/>
            <w:tcBorders>
              <w:top w:val="single" w:color="BFBFBF" w:sz="4"/>
              <w:left w:val="single" w:color="BFBFBF" w:sz="4"/>
              <w:bottom w:val="single" w:color="BFBFBF" w:sz="4"/>
              <w:right w:val="single" w:color="BFBFBF" w:sz="4"/>
            </w:tcBorders>
            <w:shd w:fill="1F3A5F" w:color="auto" w:val="clear"/>
            <w:tcMar>
              <w:top w:type="dxa" w:w="50"/>
              <w:left w:type="dxa" w:w="100"/>
              <w:bottom w:type="dxa" w:w="50"/>
              <w:right w:type="dxa" w:w="100"/>
            </w:tcMar>
          </w:tcPr>
          <w:p>
            <w:pPr>
              <w:jc w:val="center"/>
            </w:pPr>
            <w:r>
              <w:rPr>
                <w:rFonts w:ascii="Calibri" w:cs="Calibri" w:eastAsia="Calibri" w:hAnsi="Calibri"/>
                <w:b/>
                <w:bCs/>
                <w:color w:val="FFFFFF"/>
                <w:sz w:val="19"/>
                <w:szCs w:val="19"/>
              </w:rPr>
              <w:t xml:space="preserve">Max</w:t>
            </w:r>
          </w:p>
        </w:tc>
      </w:tr>
      <w:tr>
        <w:tc>
          <w:tcPr>
            <w:tcW w:type="dxa" w:w="2546"/>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left"/>
            </w:pPr>
            <w:r>
              <w:rPr>
                <w:rFonts w:ascii="Calibri" w:cs="Calibri" w:eastAsia="Calibri" w:hAnsi="Calibri"/>
                <w:b w:val="false"/>
                <w:bCs w:val="false"/>
                <w:color w:val="000000"/>
                <w:sz w:val="19"/>
                <w:szCs w:val="19"/>
              </w:rPr>
              <w:t xml:space="preserve">imdb_score</w:t>
            </w:r>
          </w:p>
        </w:tc>
        <w:tc>
          <w:tcPr>
            <w:tcW w:type="dxa" w:w="14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center"/>
            </w:pPr>
            <w:r>
              <w:rPr>
                <w:rFonts w:ascii="Calibri" w:cs="Calibri" w:eastAsia="Calibri" w:hAnsi="Calibri"/>
                <w:b w:val="false"/>
                <w:bCs w:val="false"/>
                <w:color w:val="000000"/>
                <w:sz w:val="19"/>
                <w:szCs w:val="19"/>
              </w:rPr>
              <w:t xml:space="preserve">6.44</w:t>
            </w:r>
          </w:p>
        </w:tc>
        <w:tc>
          <w:tcPr>
            <w:tcW w:type="dxa" w:w="14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center"/>
            </w:pPr>
            <w:r>
              <w:rPr>
                <w:rFonts w:ascii="Calibri" w:cs="Calibri" w:eastAsia="Calibri" w:hAnsi="Calibri"/>
                <w:b w:val="false"/>
                <w:bCs w:val="false"/>
                <w:color w:val="000000"/>
                <w:sz w:val="19"/>
                <w:szCs w:val="19"/>
              </w:rPr>
              <w:t xml:space="preserve">6.60</w:t>
            </w:r>
          </w:p>
        </w:tc>
        <w:tc>
          <w:tcPr>
            <w:tcW w:type="dxa" w:w="1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center"/>
            </w:pPr>
            <w:r>
              <w:rPr>
                <w:rFonts w:ascii="Calibri" w:cs="Calibri" w:eastAsia="Calibri" w:hAnsi="Calibri"/>
                <w:b w:val="false"/>
                <w:bCs w:val="false"/>
                <w:color w:val="000000"/>
                <w:sz w:val="19"/>
                <w:szCs w:val="19"/>
              </w:rPr>
              <w:t xml:space="preserve">1.12</w:t>
            </w:r>
          </w:p>
        </w:tc>
        <w:tc>
          <w:tcPr>
            <w:tcW w:type="dxa" w:w="12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center"/>
            </w:pPr>
            <w:r>
              <w:rPr>
                <w:rFonts w:ascii="Calibri" w:cs="Calibri" w:eastAsia="Calibri" w:hAnsi="Calibri"/>
                <w:b w:val="false"/>
                <w:bCs w:val="false"/>
                <w:color w:val="000000"/>
                <w:sz w:val="19"/>
                <w:szCs w:val="19"/>
              </w:rPr>
              <w:t xml:space="preserve">1.6</w:t>
            </w:r>
          </w:p>
        </w:tc>
        <w:tc>
          <w:tcPr>
            <w:tcW w:type="dxa" w:w="1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center"/>
            </w:pPr>
            <w:r>
              <w:rPr>
                <w:rFonts w:ascii="Calibri" w:cs="Calibri" w:eastAsia="Calibri" w:hAnsi="Calibri"/>
                <w:b w:val="false"/>
                <w:bCs w:val="false"/>
                <w:color w:val="000000"/>
                <w:sz w:val="19"/>
                <w:szCs w:val="19"/>
              </w:rPr>
              <w:t xml:space="preserve">9.5</w:t>
            </w:r>
          </w:p>
        </w:tc>
      </w:tr>
      <w:tr>
        <w:tc>
          <w:tcPr>
            <w:tcW w:type="dxa" w:w="2546"/>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left"/>
            </w:pPr>
            <w:r>
              <w:rPr>
                <w:rFonts w:ascii="Calibri" w:cs="Calibri" w:eastAsia="Calibri" w:hAnsi="Calibri"/>
                <w:b w:val="false"/>
                <w:bCs w:val="false"/>
                <w:color w:val="000000"/>
                <w:sz w:val="19"/>
                <w:szCs w:val="19"/>
              </w:rPr>
              <w:t xml:space="preserve">duration (min)</w:t>
            </w:r>
          </w:p>
        </w:tc>
        <w:tc>
          <w:tcPr>
            <w:tcW w:type="dxa" w:w="14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center"/>
            </w:pPr>
            <w:r>
              <w:rPr>
                <w:rFonts w:ascii="Calibri" w:cs="Calibri" w:eastAsia="Calibri" w:hAnsi="Calibri"/>
                <w:b w:val="false"/>
                <w:bCs w:val="false"/>
                <w:color w:val="000000"/>
                <w:sz w:val="19"/>
                <w:szCs w:val="19"/>
              </w:rPr>
              <w:t xml:space="preserve">107.2</w:t>
            </w:r>
          </w:p>
        </w:tc>
        <w:tc>
          <w:tcPr>
            <w:tcW w:type="dxa" w:w="14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center"/>
            </w:pPr>
            <w:r>
              <w:rPr>
                <w:rFonts w:ascii="Calibri" w:cs="Calibri" w:eastAsia="Calibri" w:hAnsi="Calibri"/>
                <w:b w:val="false"/>
                <w:bCs w:val="false"/>
                <w:color w:val="000000"/>
                <w:sz w:val="19"/>
                <w:szCs w:val="19"/>
              </w:rPr>
              <w:t xml:space="preserve">103</w:t>
            </w:r>
          </w:p>
        </w:tc>
        <w:tc>
          <w:tcPr>
            <w:tcW w:type="dxa" w:w="1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center"/>
            </w:pPr>
            <w:r>
              <w:rPr>
                <w:rFonts w:ascii="Calibri" w:cs="Calibri" w:eastAsia="Calibri" w:hAnsi="Calibri"/>
                <w:b w:val="false"/>
                <w:bCs w:val="false"/>
                <w:color w:val="000000"/>
                <w:sz w:val="19"/>
                <w:szCs w:val="19"/>
              </w:rPr>
              <w:t xml:space="preserve">25.2</w:t>
            </w:r>
          </w:p>
        </w:tc>
        <w:tc>
          <w:tcPr>
            <w:tcW w:type="dxa" w:w="12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center"/>
            </w:pPr>
            <w:r>
              <w:rPr>
                <w:rFonts w:ascii="Calibri" w:cs="Calibri" w:eastAsia="Calibri" w:hAnsi="Calibri"/>
                <w:b w:val="false"/>
                <w:bCs w:val="false"/>
                <w:color w:val="000000"/>
                <w:sz w:val="19"/>
                <w:szCs w:val="19"/>
              </w:rPr>
              <w:t xml:space="preserve">7</w:t>
            </w:r>
          </w:p>
        </w:tc>
        <w:tc>
          <w:tcPr>
            <w:tcW w:type="dxa" w:w="1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center"/>
            </w:pPr>
            <w:r>
              <w:rPr>
                <w:rFonts w:ascii="Calibri" w:cs="Calibri" w:eastAsia="Calibri" w:hAnsi="Calibri"/>
                <w:b w:val="false"/>
                <w:bCs w:val="false"/>
                <w:color w:val="000000"/>
                <w:sz w:val="19"/>
                <w:szCs w:val="19"/>
              </w:rPr>
              <w:t xml:space="preserve">511</w:t>
            </w:r>
          </w:p>
        </w:tc>
      </w:tr>
      <w:tr>
        <w:tc>
          <w:tcPr>
            <w:tcW w:type="dxa" w:w="2546"/>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left"/>
            </w:pPr>
            <w:r>
              <w:rPr>
                <w:rFonts w:ascii="Calibri" w:cs="Calibri" w:eastAsia="Calibri" w:hAnsi="Calibri"/>
                <w:b w:val="false"/>
                <w:bCs w:val="false"/>
                <w:color w:val="000000"/>
                <w:sz w:val="19"/>
                <w:szCs w:val="19"/>
              </w:rPr>
              <w:t xml:space="preserve">gross (USD)</w:t>
            </w:r>
          </w:p>
        </w:tc>
        <w:tc>
          <w:tcPr>
            <w:tcW w:type="dxa" w:w="14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center"/>
            </w:pPr>
            <w:r>
              <w:rPr>
                <w:rFonts w:ascii="Calibri" w:cs="Calibri" w:eastAsia="Calibri" w:hAnsi="Calibri"/>
                <w:b w:val="false"/>
                <w:bCs w:val="false"/>
                <w:color w:val="000000"/>
                <w:sz w:val="19"/>
                <w:szCs w:val="19"/>
              </w:rPr>
              <w:t xml:space="preserve">44.3 M</w:t>
            </w:r>
          </w:p>
        </w:tc>
        <w:tc>
          <w:tcPr>
            <w:tcW w:type="dxa" w:w="14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center"/>
            </w:pPr>
            <w:r>
              <w:rPr>
                <w:rFonts w:ascii="Calibri" w:cs="Calibri" w:eastAsia="Calibri" w:hAnsi="Calibri"/>
                <w:b w:val="false"/>
                <w:bCs w:val="false"/>
                <w:color w:val="000000"/>
                <w:sz w:val="19"/>
                <w:szCs w:val="19"/>
              </w:rPr>
              <w:t xml:space="preserve">25.5 M</w:t>
            </w:r>
          </w:p>
        </w:tc>
        <w:tc>
          <w:tcPr>
            <w:tcW w:type="dxa" w:w="1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center"/>
            </w:pPr>
            <w:r>
              <w:rPr>
                <w:rFonts w:ascii="Calibri" w:cs="Calibri" w:eastAsia="Calibri" w:hAnsi="Calibri"/>
                <w:b w:val="false"/>
                <w:bCs w:val="false"/>
                <w:color w:val="000000"/>
                <w:sz w:val="19"/>
                <w:szCs w:val="19"/>
              </w:rPr>
              <w:t xml:space="preserve">62.3 M</w:t>
            </w:r>
          </w:p>
        </w:tc>
        <w:tc>
          <w:tcPr>
            <w:tcW w:type="dxa" w:w="12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center"/>
            </w:pPr>
            <w:r>
              <w:rPr>
                <w:rFonts w:ascii="Calibri" w:cs="Calibri" w:eastAsia="Calibri" w:hAnsi="Calibri"/>
                <w:b w:val="false"/>
                <w:bCs w:val="false"/>
                <w:color w:val="000000"/>
                <w:sz w:val="19"/>
                <w:szCs w:val="19"/>
              </w:rPr>
              <w:t xml:space="preserve">162</w:t>
            </w:r>
          </w:p>
        </w:tc>
        <w:tc>
          <w:tcPr>
            <w:tcW w:type="dxa" w:w="1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center"/>
            </w:pPr>
            <w:r>
              <w:rPr>
                <w:rFonts w:ascii="Calibri" w:cs="Calibri" w:eastAsia="Calibri" w:hAnsi="Calibri"/>
                <w:b w:val="false"/>
                <w:bCs w:val="false"/>
                <w:color w:val="000000"/>
                <w:sz w:val="19"/>
                <w:szCs w:val="19"/>
              </w:rPr>
              <w:t xml:space="preserve">760.5 M</w:t>
            </w:r>
          </w:p>
        </w:tc>
      </w:tr>
      <w:tr>
        <w:tc>
          <w:tcPr>
            <w:tcW w:type="dxa" w:w="2546"/>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left"/>
            </w:pPr>
            <w:r>
              <w:rPr>
                <w:rFonts w:ascii="Calibri" w:cs="Calibri" w:eastAsia="Calibri" w:hAnsi="Calibri"/>
                <w:b w:val="false"/>
                <w:bCs w:val="false"/>
                <w:color w:val="000000"/>
                <w:sz w:val="19"/>
                <w:szCs w:val="19"/>
              </w:rPr>
              <w:t xml:space="preserve">budget</w:t>
            </w:r>
          </w:p>
        </w:tc>
        <w:tc>
          <w:tcPr>
            <w:tcW w:type="dxa" w:w="14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center"/>
            </w:pPr>
            <w:r>
              <w:rPr>
                <w:rFonts w:ascii="Calibri" w:cs="Calibri" w:eastAsia="Calibri" w:hAnsi="Calibri"/>
                <w:b w:val="false"/>
                <w:bCs w:val="false"/>
                <w:color w:val="000000"/>
                <w:sz w:val="19"/>
                <w:szCs w:val="19"/>
              </w:rPr>
              <w:t xml:space="preserve">37.8 M</w:t>
            </w:r>
          </w:p>
        </w:tc>
        <w:tc>
          <w:tcPr>
            <w:tcW w:type="dxa" w:w="14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center"/>
            </w:pPr>
            <w:r>
              <w:rPr>
                <w:rFonts w:ascii="Calibri" w:cs="Calibri" w:eastAsia="Calibri" w:hAnsi="Calibri"/>
                <w:b w:val="false"/>
                <w:bCs w:val="false"/>
                <w:color w:val="000000"/>
                <w:sz w:val="19"/>
                <w:szCs w:val="19"/>
              </w:rPr>
              <w:t xml:space="preserve">20.0 M</w:t>
            </w:r>
          </w:p>
        </w:tc>
        <w:tc>
          <w:tcPr>
            <w:tcW w:type="dxa" w:w="1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center"/>
            </w:pPr>
            <w:r>
              <w:rPr>
                <w:rFonts w:ascii="Calibri" w:cs="Calibri" w:eastAsia="Calibri" w:hAnsi="Calibri"/>
                <w:b w:val="false"/>
                <w:bCs w:val="false"/>
                <w:color w:val="000000"/>
                <w:sz w:val="19"/>
                <w:szCs w:val="19"/>
              </w:rPr>
              <w:t xml:space="preserve">196.7 M</w:t>
            </w:r>
          </w:p>
        </w:tc>
        <w:tc>
          <w:tcPr>
            <w:tcW w:type="dxa" w:w="12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center"/>
            </w:pPr>
            <w:r>
              <w:rPr>
                <w:rFonts w:ascii="Calibri" w:cs="Calibri" w:eastAsia="Calibri" w:hAnsi="Calibri"/>
                <w:b w:val="false"/>
                <w:bCs w:val="false"/>
                <w:color w:val="000000"/>
                <w:sz w:val="19"/>
                <w:szCs w:val="19"/>
              </w:rPr>
              <w:t xml:space="preserve">218</w:t>
            </w:r>
          </w:p>
        </w:tc>
        <w:tc>
          <w:tcPr>
            <w:tcW w:type="dxa" w:w="1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center"/>
            </w:pPr>
            <w:r>
              <w:rPr>
                <w:rFonts w:ascii="Calibri" w:cs="Calibri" w:eastAsia="Calibri" w:hAnsi="Calibri"/>
                <w:b w:val="false"/>
                <w:bCs w:val="false"/>
                <w:color w:val="000000"/>
                <w:sz w:val="19"/>
                <w:szCs w:val="19"/>
              </w:rPr>
              <w:t xml:space="preserve">12.2 B</w:t>
            </w:r>
          </w:p>
        </w:tc>
      </w:tr>
      <w:tr>
        <w:tc>
          <w:tcPr>
            <w:tcW w:type="dxa" w:w="2546"/>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left"/>
            </w:pPr>
            <w:r>
              <w:rPr>
                <w:rFonts w:ascii="Calibri" w:cs="Calibri" w:eastAsia="Calibri" w:hAnsi="Calibri"/>
                <w:b w:val="false"/>
                <w:bCs w:val="false"/>
                <w:color w:val="000000"/>
                <w:sz w:val="19"/>
                <w:szCs w:val="19"/>
              </w:rPr>
              <w:t xml:space="preserve">num_voted_users</w:t>
            </w:r>
          </w:p>
        </w:tc>
        <w:tc>
          <w:tcPr>
            <w:tcW w:type="dxa" w:w="14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center"/>
            </w:pPr>
            <w:r>
              <w:rPr>
                <w:rFonts w:ascii="Calibri" w:cs="Calibri" w:eastAsia="Calibri" w:hAnsi="Calibri"/>
                <w:b w:val="false"/>
                <w:bCs w:val="false"/>
                <w:color w:val="000000"/>
                <w:sz w:val="19"/>
                <w:szCs w:val="19"/>
              </w:rPr>
              <w:t xml:space="preserve">83,470</w:t>
            </w:r>
          </w:p>
        </w:tc>
        <w:tc>
          <w:tcPr>
            <w:tcW w:type="dxa" w:w="14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center"/>
            </w:pPr>
            <w:r>
              <w:rPr>
                <w:rFonts w:ascii="Calibri" w:cs="Calibri" w:eastAsia="Calibri" w:hAnsi="Calibri"/>
                <w:b w:val="false"/>
                <w:bCs w:val="false"/>
                <w:color w:val="000000"/>
                <w:sz w:val="19"/>
                <w:szCs w:val="19"/>
              </w:rPr>
              <w:t xml:space="preserve">34,260</w:t>
            </w:r>
          </w:p>
        </w:tc>
        <w:tc>
          <w:tcPr>
            <w:tcW w:type="dxa" w:w="1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center"/>
            </w:pPr>
            <w:r>
              <w:rPr>
                <w:rFonts w:ascii="Calibri" w:cs="Calibri" w:eastAsia="Calibri" w:hAnsi="Calibri"/>
                <w:b w:val="false"/>
                <w:bCs w:val="false"/>
                <w:color w:val="000000"/>
                <w:sz w:val="19"/>
                <w:szCs w:val="19"/>
              </w:rPr>
              <w:t xml:space="preserve">138,087</w:t>
            </w:r>
          </w:p>
        </w:tc>
        <w:tc>
          <w:tcPr>
            <w:tcW w:type="dxa" w:w="12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center"/>
            </w:pPr>
            <w:r>
              <w:rPr>
                <w:rFonts w:ascii="Calibri" w:cs="Calibri" w:eastAsia="Calibri" w:hAnsi="Calibri"/>
                <w:b w:val="false"/>
                <w:bCs w:val="false"/>
                <w:color w:val="000000"/>
                <w:sz w:val="19"/>
                <w:szCs w:val="19"/>
              </w:rPr>
              <w:t xml:space="preserve">5</w:t>
            </w:r>
          </w:p>
        </w:tc>
        <w:tc>
          <w:tcPr>
            <w:tcW w:type="dxa" w:w="1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center"/>
            </w:pPr>
            <w:r>
              <w:rPr>
                <w:rFonts w:ascii="Calibri" w:cs="Calibri" w:eastAsia="Calibri" w:hAnsi="Calibri"/>
                <w:b w:val="false"/>
                <w:bCs w:val="false"/>
                <w:color w:val="000000"/>
                <w:sz w:val="19"/>
                <w:szCs w:val="19"/>
              </w:rPr>
              <w:t xml:space="preserve">1.69 M</w:t>
            </w:r>
          </w:p>
        </w:tc>
      </w:tr>
      <w:tr>
        <w:tc>
          <w:tcPr>
            <w:tcW w:type="dxa" w:w="2546"/>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left"/>
            </w:pPr>
            <w:r>
              <w:rPr>
                <w:rFonts w:ascii="Calibri" w:cs="Calibri" w:eastAsia="Calibri" w:hAnsi="Calibri"/>
                <w:b w:val="false"/>
                <w:bCs w:val="false"/>
                <w:color w:val="000000"/>
                <w:sz w:val="19"/>
                <w:szCs w:val="19"/>
              </w:rPr>
              <w:t xml:space="preserve">num_critic_for_reviews</w:t>
            </w:r>
          </w:p>
        </w:tc>
        <w:tc>
          <w:tcPr>
            <w:tcW w:type="dxa" w:w="14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center"/>
            </w:pPr>
            <w:r>
              <w:rPr>
                <w:rFonts w:ascii="Calibri" w:cs="Calibri" w:eastAsia="Calibri" w:hAnsi="Calibri"/>
                <w:b w:val="false"/>
                <w:bCs w:val="false"/>
                <w:color w:val="000000"/>
                <w:sz w:val="19"/>
                <w:szCs w:val="19"/>
              </w:rPr>
              <w:t xml:space="preserve">139.6</w:t>
            </w:r>
          </w:p>
        </w:tc>
        <w:tc>
          <w:tcPr>
            <w:tcW w:type="dxa" w:w="14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center"/>
            </w:pPr>
            <w:r>
              <w:rPr>
                <w:rFonts w:ascii="Calibri" w:cs="Calibri" w:eastAsia="Calibri" w:hAnsi="Calibri"/>
                <w:b w:val="false"/>
                <w:bCs w:val="false"/>
                <w:color w:val="000000"/>
                <w:sz w:val="19"/>
                <w:szCs w:val="19"/>
              </w:rPr>
              <w:t xml:space="preserve">110</w:t>
            </w:r>
          </w:p>
        </w:tc>
        <w:tc>
          <w:tcPr>
            <w:tcW w:type="dxa" w:w="1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center"/>
            </w:pPr>
            <w:r>
              <w:rPr>
                <w:rFonts w:ascii="Calibri" w:cs="Calibri" w:eastAsia="Calibri" w:hAnsi="Calibri"/>
                <w:b w:val="false"/>
                <w:bCs w:val="false"/>
                <w:color w:val="000000"/>
                <w:sz w:val="19"/>
                <w:szCs w:val="19"/>
              </w:rPr>
              <w:t xml:space="preserve">120.9</w:t>
            </w:r>
          </w:p>
        </w:tc>
        <w:tc>
          <w:tcPr>
            <w:tcW w:type="dxa" w:w="12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center"/>
            </w:pPr>
            <w:r>
              <w:rPr>
                <w:rFonts w:ascii="Calibri" w:cs="Calibri" w:eastAsia="Calibri" w:hAnsi="Calibri"/>
                <w:b w:val="false"/>
                <w:bCs w:val="false"/>
                <w:color w:val="000000"/>
                <w:sz w:val="19"/>
                <w:szCs w:val="19"/>
              </w:rPr>
              <w:t xml:space="preserve">1</w:t>
            </w:r>
          </w:p>
        </w:tc>
        <w:tc>
          <w:tcPr>
            <w:tcW w:type="dxa" w:w="1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center"/>
            </w:pPr>
            <w:r>
              <w:rPr>
                <w:rFonts w:ascii="Calibri" w:cs="Calibri" w:eastAsia="Calibri" w:hAnsi="Calibri"/>
                <w:b w:val="false"/>
                <w:bCs w:val="false"/>
                <w:color w:val="000000"/>
                <w:sz w:val="19"/>
                <w:szCs w:val="19"/>
              </w:rPr>
              <w:t xml:space="preserve">813</w:t>
            </w:r>
          </w:p>
        </w:tc>
      </w:tr>
    </w:tbl>
    <w:p>
      <w:pPr>
        <w:spacing w:after="60"/>
      </w:pPr>
    </w:p>
    <w:p>
      <w:pPr>
        <w:pStyle w:val="Heading1"/>
        <w:pBdr>
          <w:bottom w:val="single" w:color="1F3A5F" w:sz="6" w:space="2"/>
        </w:pBdr>
        <w:spacing w:after="100" w:before="220"/>
      </w:pPr>
      <w:r>
        <w:rPr>
          <w:rFonts w:ascii="Calibri" w:cs="Calibri" w:eastAsia="Calibri" w:hAnsi="Calibri"/>
          <w:b/>
          <w:bCs/>
          <w:color w:val="1F3A5F"/>
          <w:sz w:val="28"/>
          <w:szCs w:val="28"/>
        </w:rPr>
        <w:t xml:space="preserve">5. Distributions of Key Attributes</w:t>
      </w:r>
    </w:p>
    <w:p>
      <w:pPr>
        <w:keepNext/>
        <w:spacing w:after="40" w:before="60"/>
        <w:jc w:val="center"/>
      </w:pPr>
      <w:r>
        <w:drawing>
          <wp:inline distT="0" distB="0" distL="0" distR="0">
            <wp:extent cx="5143500" cy="3286125"/>
            <wp:effectExtent t="0" r="0" b="0" l="0"/>
            <wp:docPr id="1" name="cell6_1.png" descr="cell6_1.png" title="cell6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43500" cy="3286125"/>
                    </a:xfrm>
                    <a:prstGeom prst="rect">
                      <a:avLst/>
                    </a:prstGeom>
                  </pic:spPr>
                </pic:pic>
              </a:graphicData>
            </a:graphic>
          </wp:inline>
        </w:drawing>
      </w:r>
    </w:p>
    <w:p>
      <w:pPr>
        <w:spacing w:after="140"/>
        <w:jc w:val="center"/>
      </w:pPr>
      <w:r>
        <w:rPr>
          <w:rFonts w:ascii="Calibri" w:cs="Calibri" w:eastAsia="Calibri" w:hAnsi="Calibri"/>
          <w:i/>
          <w:iCs/>
          <w:color w:val="595959"/>
          <w:sz w:val="18"/>
          <w:szCs w:val="18"/>
        </w:rPr>
        <w:t xml:space="preserve">Figure 1. Histograms of budget, gross, IMDb score, duration and release year.</w:t>
      </w:r>
    </w:p>
    <w:p>
      <w:pPr>
        <w:pStyle w:val="ListParagraph"/>
        <w:numPr>
          <w:ilvl w:val="0"/>
          <w:numId w:val="2"/>
        </w:numPr>
        <w:spacing w:after="60" w:line="264"/>
      </w:pPr>
      <w:r>
        <w:rPr>
          <w:rFonts w:ascii="Calibri" w:cs="Calibri" w:eastAsia="Calibri" w:hAnsi="Calibri"/>
          <w:b/>
          <w:bCs/>
          <w:sz w:val="21"/>
          <w:szCs w:val="21"/>
        </w:rPr>
        <w:t xml:space="preserve">Budget and gross: </w:t>
      </w:r>
      <w:r>
        <w:rPr>
          <w:rFonts w:ascii="Calibri" w:cs="Calibri" w:eastAsia="Calibri" w:hAnsi="Calibri"/>
          <w:sz w:val="21"/>
          <w:szCs w:val="21"/>
        </w:rPr>
        <w:t xml:space="preserve">both pile up near zero with a long right tail. The budget histogram is dominated by a handful of extreme values (up to 1.2 x 10^10), so almost all films fall in a single bar.</w:t>
      </w:r>
    </w:p>
    <w:p>
      <w:pPr>
        <w:pStyle w:val="ListParagraph"/>
        <w:numPr>
          <w:ilvl w:val="0"/>
          <w:numId w:val="2"/>
        </w:numPr>
        <w:spacing w:after="60" w:line="264"/>
      </w:pPr>
      <w:r>
        <w:rPr>
          <w:rFonts w:ascii="Calibri" w:cs="Calibri" w:eastAsia="Calibri" w:hAnsi="Calibri"/>
          <w:b/>
          <w:bCs/>
          <w:sz w:val="21"/>
          <w:szCs w:val="21"/>
        </w:rPr>
        <w:t xml:space="preserve">IMDb score: </w:t>
      </w:r>
      <w:r>
        <w:rPr>
          <w:rFonts w:ascii="Calibri" w:cs="Calibri" w:eastAsia="Calibri" w:hAnsi="Calibri"/>
          <w:sz w:val="21"/>
          <w:szCs w:val="21"/>
        </w:rPr>
        <w:t xml:space="preserve">approximately bell-shaped but slightly left-skewed, peaking between 6.5 and 7.5, with few films below 4 or above 8.5.</w:t>
      </w:r>
    </w:p>
    <w:p>
      <w:pPr>
        <w:pStyle w:val="ListParagraph"/>
        <w:numPr>
          <w:ilvl w:val="0"/>
          <w:numId w:val="2"/>
        </w:numPr>
        <w:spacing w:after="60" w:line="264"/>
      </w:pPr>
      <w:r>
        <w:rPr>
          <w:rFonts w:ascii="Calibri" w:cs="Calibri" w:eastAsia="Calibri" w:hAnsi="Calibri"/>
          <w:b/>
          <w:bCs/>
          <w:sz w:val="21"/>
          <w:szCs w:val="21"/>
        </w:rPr>
        <w:t xml:space="preserve">Duration: </w:t>
      </w:r>
      <w:r>
        <w:rPr>
          <w:rFonts w:ascii="Calibri" w:cs="Calibri" w:eastAsia="Calibri" w:hAnsi="Calibri"/>
          <w:sz w:val="21"/>
          <w:szCs w:val="21"/>
        </w:rPr>
        <w:t xml:space="preserve">tightly clustered around 90-120 minutes; a small number of very long films stretch the axis out to 500 minutes.</w:t>
      </w:r>
    </w:p>
    <w:p>
      <w:pPr>
        <w:pStyle w:val="ListParagraph"/>
        <w:numPr>
          <w:ilvl w:val="0"/>
          <w:numId w:val="2"/>
        </w:numPr>
        <w:spacing w:after="60" w:line="264"/>
      </w:pPr>
      <w:r>
        <w:rPr>
          <w:rFonts w:ascii="Calibri" w:cs="Calibri" w:eastAsia="Calibri" w:hAnsi="Calibri"/>
          <w:b/>
          <w:bCs/>
          <w:sz w:val="21"/>
          <w:szCs w:val="21"/>
        </w:rPr>
        <w:t xml:space="preserve">Release year: </w:t>
      </w:r>
      <w:r>
        <w:rPr>
          <w:rFonts w:ascii="Calibri" w:cs="Calibri" w:eastAsia="Calibri" w:hAnsi="Calibri"/>
          <w:sz w:val="21"/>
          <w:szCs w:val="21"/>
        </w:rPr>
        <w:t xml:space="preserve">the dataset is heavily weighted toward recent films, with roughly 1,000 titles in each of the latest bins, so conclusions mainly describe modern cinema.</w:t>
      </w:r>
    </w:p>
    <w:p>
      <w:pPr>
        <w:pStyle w:val="Heading1"/>
        <w:pBdr>
          <w:bottom w:val="single" w:color="1F3A5F" w:sz="6" w:space="2"/>
        </w:pBdr>
        <w:spacing w:after="100" w:before="220"/>
      </w:pPr>
      <w:r>
        <w:rPr>
          <w:rFonts w:ascii="Calibri" w:cs="Calibri" w:eastAsia="Calibri" w:hAnsi="Calibri"/>
          <w:b/>
          <w:bCs/>
          <w:color w:val="1F3A5F"/>
          <w:sz w:val="28"/>
          <w:szCs w:val="28"/>
        </w:rPr>
        <w:t xml:space="preserve">6. Outlier Detection</w:t>
      </w:r>
    </w:p>
    <w:p>
      <w:pPr>
        <w:keepNext/>
        <w:spacing w:after="40" w:before="60"/>
        <w:jc w:val="center"/>
      </w:pPr>
      <w:r>
        <w:drawing>
          <wp:inline distT="0" distB="0" distL="0" distR="0">
            <wp:extent cx="5334000" cy="2705100"/>
            <wp:effectExtent t="0" r="0" b="0" l="0"/>
            <wp:docPr id="1" name="box_combined.png" descr="box_combined.png" title="box_combin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705100"/>
                    </a:xfrm>
                    <a:prstGeom prst="rect">
                      <a:avLst/>
                    </a:prstGeom>
                  </pic:spPr>
                </pic:pic>
              </a:graphicData>
            </a:graphic>
          </wp:inline>
        </w:drawing>
      </w:r>
    </w:p>
    <w:p>
      <w:pPr>
        <w:spacing w:after="140"/>
        <w:jc w:val="center"/>
      </w:pPr>
      <w:r>
        <w:rPr>
          <w:rFonts w:ascii="Calibri" w:cs="Calibri" w:eastAsia="Calibri" w:hAnsi="Calibri"/>
          <w:i/>
          <w:iCs/>
          <w:color w:val="595959"/>
          <w:sz w:val="18"/>
          <w:szCs w:val="18"/>
        </w:rPr>
        <w:t xml:space="preserve">Figure 2. Box plots for budget, gross, IMDb score and duration.</w:t>
      </w:r>
    </w:p>
    <w:p>
      <w:pPr>
        <w:spacing w:after="110" w:line="276"/>
        <w:jc w:val="both"/>
      </w:pPr>
      <w:r>
        <w:rPr>
          <w:rFonts w:ascii="Calibri" w:cs="Calibri" w:eastAsia="Calibri" w:hAnsi="Calibri"/>
          <w:sz w:val="21"/>
          <w:szCs w:val="21"/>
        </w:rPr>
        <w:t xml:space="preserve">Box plots confirm that gross and budget contain many high-value outliers. The budget outliers are the most extreme: a few records sit orders of magnitude above the rest, and the minimum budget (218) and minimum gross (162) are implausibly small for feature films. These patterns point to values recorded in different currencies or with unit errors, and they should be cleaned or capped before modelling. IMDb score outliers lie on the low side (below roughly 3.7), representing genuinely poorly rated films and arguably worth keeping. Duration outliers appear at both ends, from shorts of under an hour to a single film of more than 500 minutes.</w:t>
      </w:r>
    </w:p>
    <w:p>
      <w:pPr>
        <w:pStyle w:val="Heading1"/>
        <w:pBdr>
          <w:bottom w:val="single" w:color="1F3A5F" w:sz="6" w:space="2"/>
        </w:pBdr>
        <w:spacing w:after="100" w:before="220"/>
      </w:pPr>
      <w:r>
        <w:rPr>
          <w:rFonts w:ascii="Calibri" w:cs="Calibri" w:eastAsia="Calibri" w:hAnsi="Calibri"/>
          <w:b/>
          <w:bCs/>
          <w:color w:val="1F3A5F"/>
          <w:sz w:val="28"/>
          <w:szCs w:val="28"/>
        </w:rPr>
        <w:t xml:space="preserve">7. Correlation Analysis</w:t>
      </w:r>
    </w:p>
    <w:p>
      <w:pPr>
        <w:keepNext/>
        <w:spacing w:after="40" w:before="60"/>
        <w:jc w:val="center"/>
      </w:pPr>
      <w:r>
        <w:drawing>
          <wp:inline distT="0" distB="0" distL="0" distR="0">
            <wp:extent cx="3714750" cy="2847975"/>
            <wp:effectExtent t="0" r="0" b="0" l="0"/>
            <wp:docPr id="1" name="cell8_6.png" descr="cell8_6.png" title="cell8_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714750" cy="2847975"/>
                    </a:xfrm>
                    <a:prstGeom prst="rect">
                      <a:avLst/>
                    </a:prstGeom>
                  </pic:spPr>
                </pic:pic>
              </a:graphicData>
            </a:graphic>
          </wp:inline>
        </w:drawing>
      </w:r>
    </w:p>
    <w:p>
      <w:pPr>
        <w:spacing w:after="140"/>
        <w:jc w:val="center"/>
      </w:pPr>
      <w:r>
        <w:rPr>
          <w:rFonts w:ascii="Calibri" w:cs="Calibri" w:eastAsia="Calibri" w:hAnsi="Calibri"/>
          <w:i/>
          <w:iCs/>
          <w:color w:val="595959"/>
          <w:sz w:val="18"/>
          <w:szCs w:val="18"/>
        </w:rPr>
        <w:t xml:space="preserve">Figure 3. Correlation heatmap of all numeric variables.</w:t>
      </w:r>
    </w:p>
    <w:p>
      <w:pPr>
        <w:pStyle w:val="ListParagraph"/>
        <w:numPr>
          <w:ilvl w:val="0"/>
          <w:numId w:val="2"/>
        </w:numPr>
        <w:spacing w:after="60" w:line="264"/>
      </w:pPr>
      <w:r>
        <w:rPr>
          <w:rFonts w:ascii="Calibri" w:cs="Calibri" w:eastAsia="Calibri" w:hAnsi="Calibri"/>
          <w:b/>
          <w:bCs/>
          <w:sz w:val="21"/>
          <w:szCs w:val="21"/>
        </w:rPr>
        <w:t xml:space="preserve">Strongest relationships are between engagement counts: </w:t>
      </w:r>
      <w:r>
        <w:rPr>
          <w:rFonts w:ascii="Calibri" w:cs="Calibri" w:eastAsia="Calibri" w:hAnsi="Calibri"/>
          <w:sz w:val="21"/>
          <w:szCs w:val="21"/>
        </w:rPr>
        <w:t xml:space="preserve">num_voted_users with num_user_for_reviews (about 0.8) and num_critic_for_reviews (about 0.6), and actor_1_facebook_likes with cast_total_facebook_likes (above 0.9, close to redundant).</w:t>
      </w:r>
    </w:p>
    <w:p>
      <w:pPr>
        <w:pStyle w:val="ListParagraph"/>
        <w:numPr>
          <w:ilvl w:val="0"/>
          <w:numId w:val="2"/>
        </w:numPr>
        <w:spacing w:after="60" w:line="264"/>
      </w:pPr>
      <w:r>
        <w:rPr>
          <w:rFonts w:ascii="Calibri" w:cs="Calibri" w:eastAsia="Calibri" w:hAnsi="Calibri"/>
          <w:b/>
          <w:bCs/>
          <w:sz w:val="21"/>
          <w:szCs w:val="21"/>
        </w:rPr>
        <w:t xml:space="preserve">Gross revenue </w:t>
      </w:r>
      <w:r>
        <w:rPr>
          <w:rFonts w:ascii="Calibri" w:cs="Calibri" w:eastAsia="Calibri" w:hAnsi="Calibri"/>
          <w:sz w:val="21"/>
          <w:szCs w:val="21"/>
        </w:rPr>
        <w:t xml:space="preserve">is most associated with num_voted_users and num_user_for_reviews (roughly 0.5 - 0.6), meaning widely seen films attract more votes and revenue together.</w:t>
      </w:r>
    </w:p>
    <w:p>
      <w:pPr>
        <w:pStyle w:val="ListParagraph"/>
        <w:numPr>
          <w:ilvl w:val="0"/>
          <w:numId w:val="2"/>
        </w:numPr>
        <w:spacing w:after="60" w:line="264"/>
      </w:pPr>
      <w:r>
        <w:rPr>
          <w:rFonts w:ascii="Calibri" w:cs="Calibri" w:eastAsia="Calibri" w:hAnsi="Calibri"/>
          <w:b/>
          <w:bCs/>
          <w:sz w:val="21"/>
          <w:szCs w:val="21"/>
        </w:rPr>
        <w:t xml:space="preserve">IMDb score </w:t>
      </w:r>
      <w:r>
        <w:rPr>
          <w:rFonts w:ascii="Calibri" w:cs="Calibri" w:eastAsia="Calibri" w:hAnsi="Calibri"/>
          <w:sz w:val="21"/>
          <w:szCs w:val="21"/>
        </w:rPr>
        <w:t xml:space="preserve">shows only a moderate link with num_voted_users (around 0.4) and a mild negative link with title_year, suggesting older films tend to be rated slightly higher.</w:t>
      </w:r>
    </w:p>
    <w:p>
      <w:pPr>
        <w:pStyle w:val="ListParagraph"/>
        <w:numPr>
          <w:ilvl w:val="0"/>
          <w:numId w:val="2"/>
        </w:numPr>
        <w:spacing w:after="60" w:line="264"/>
      </w:pPr>
      <w:r>
        <w:rPr>
          <w:rFonts w:ascii="Calibri" w:cs="Calibri" w:eastAsia="Calibri" w:hAnsi="Calibri"/>
          <w:b/>
          <w:bCs/>
          <w:sz w:val="21"/>
          <w:szCs w:val="21"/>
        </w:rPr>
        <w:t xml:space="preserve">Budget </w:t>
      </w:r>
      <w:r>
        <w:rPr>
          <w:rFonts w:ascii="Calibri" w:cs="Calibri" w:eastAsia="Calibri" w:hAnsi="Calibri"/>
          <w:sz w:val="21"/>
          <w:szCs w:val="21"/>
        </w:rPr>
        <w:t xml:space="preserve">appears almost uncorrelated with everything, which is an artefact of its extreme outliers rather than evidence that spending does not matter.</w:t>
      </w:r>
    </w:p>
    <w:p>
      <w:pPr>
        <w:pStyle w:val="Heading1"/>
        <w:pBdr>
          <w:bottom w:val="single" w:color="1F3A5F" w:sz="6" w:space="2"/>
        </w:pBdr>
        <w:spacing w:after="100" w:before="220"/>
      </w:pPr>
      <w:r>
        <w:rPr>
          <w:rFonts w:ascii="Calibri" w:cs="Calibri" w:eastAsia="Calibri" w:hAnsi="Calibri"/>
          <w:b/>
          <w:bCs/>
          <w:color w:val="1F3A5F"/>
          <w:sz w:val="28"/>
          <w:szCs w:val="28"/>
        </w:rPr>
        <w:t xml:space="preserve">8. Budget vs Gross, Genres and Ratings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rPr>
          <w:cantSplit/>
        </w:trPr>
        <w:tc>
          <w:tcPr>
            <w:tcW w:type="dxa" w:w="4873"/>
            <w:tcBorders>
              <w:top w:val="none" w:color="FFFFFF" w:sz="0"/>
              <w:left w:val="none" w:color="FFFFFF" w:sz="0"/>
              <w:bottom w:val="none" w:color="FFFFFF" w:sz="0"/>
              <w:right w:val="none" w:color="FFFFFF" w:sz="0"/>
            </w:tcBorders>
          </w:tcPr>
          <w:p>
            <w:pPr>
              <w:jc w:val="center"/>
            </w:pPr>
            <w:r>
              <w:drawing>
                <wp:inline distT="0" distB="0" distL="0" distR="0">
                  <wp:extent cx="2857500" cy="1990725"/>
                  <wp:effectExtent t="0" r="0" b="0" l="0"/>
                  <wp:docPr id="1" name="cell9_7.png" descr="cell9_7.png" title="cell9_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857500" cy="1990725"/>
                          </a:xfrm>
                          <a:prstGeom prst="rect">
                            <a:avLst/>
                          </a:prstGeom>
                        </pic:spPr>
                      </pic:pic>
                    </a:graphicData>
                  </a:graphic>
                </wp:inline>
              </w:drawing>
            </w:r>
          </w:p>
          <w:p>
            <w:pPr>
              <w:spacing w:after="100"/>
              <w:jc w:val="center"/>
            </w:pPr>
            <w:r>
              <w:rPr>
                <w:rFonts w:ascii="Calibri" w:cs="Calibri" w:eastAsia="Calibri" w:hAnsi="Calibri"/>
                <w:i/>
                <w:iCs/>
                <w:color w:val="595959"/>
                <w:sz w:val="18"/>
                <w:szCs w:val="18"/>
              </w:rPr>
              <w:t xml:space="preserve">Figure 4. Budget vs gross revenue.</w:t>
            </w:r>
          </w:p>
        </w:tc>
        <w:tc>
          <w:tcPr>
            <w:tcW w:type="dxa" w:w="4873"/>
            <w:tcBorders>
              <w:top w:val="none" w:color="FFFFFF" w:sz="0"/>
              <w:left w:val="none" w:color="FFFFFF" w:sz="0"/>
              <w:bottom w:val="none" w:color="FFFFFF" w:sz="0"/>
              <w:right w:val="none" w:color="FFFFFF" w:sz="0"/>
            </w:tcBorders>
          </w:tcPr>
          <w:p>
            <w:pPr>
              <w:jc w:val="center"/>
            </w:pPr>
            <w:r>
              <w:drawing>
                <wp:inline distT="0" distB="0" distL="0" distR="0">
                  <wp:extent cx="2857500" cy="1943100"/>
                  <wp:effectExtent t="0" r="0" b="0" l="0"/>
                  <wp:docPr id="1" name="cell11_9.png" descr="cell11_9.png" title="cell11_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857500" cy="1943100"/>
                          </a:xfrm>
                          <a:prstGeom prst="rect">
                            <a:avLst/>
                          </a:prstGeom>
                        </pic:spPr>
                      </pic:pic>
                    </a:graphicData>
                  </a:graphic>
                </wp:inline>
              </w:drawing>
            </w:r>
          </w:p>
          <w:p>
            <w:pPr>
              <w:spacing w:after="100"/>
              <w:jc w:val="center"/>
            </w:pPr>
            <w:r>
              <w:rPr>
                <w:rFonts w:ascii="Calibri" w:cs="Calibri" w:eastAsia="Calibri" w:hAnsi="Calibri"/>
                <w:i/>
                <w:iCs/>
                <w:color w:val="595959"/>
                <w:sz w:val="18"/>
                <w:szCs w:val="18"/>
              </w:rPr>
              <w:t xml:space="preserve">Figure 5. Distribution of IMDb scores.</w:t>
            </w:r>
          </w:p>
        </w:tc>
      </w:tr>
    </w:tbl>
    <w:p>
      <w:pPr>
        <w:spacing w:after="110" w:line="276"/>
        <w:jc w:val="both"/>
      </w:pPr>
      <w:r>
        <w:rPr>
          <w:rFonts w:ascii="Calibri" w:cs="Calibri" w:eastAsia="Calibri" w:hAnsi="Calibri"/>
          <w:b/>
          <w:bCs/>
          <w:sz w:val="21"/>
          <w:szCs w:val="21"/>
        </w:rPr>
        <w:t xml:space="preserve">Budget vs gross. </w:t>
      </w:r>
      <w:r>
        <w:rPr>
          <w:rFonts w:ascii="Calibri" w:cs="Calibri" w:eastAsia="Calibri" w:hAnsi="Calibri"/>
          <w:sz w:val="21"/>
          <w:szCs w:val="21"/>
        </w:rPr>
        <w:t xml:space="preserve">The scatter plot shows no clear linear relationship: nearly all films cluster at low budgets while gross varies widely, and the few very-high-budget points earn almost nothing, again pointing to currency or data-entry issues. A log scale and a currency-cleaned budget would give a far more useful view.</w:t>
      </w:r>
    </w:p>
    <w:p>
      <w:pPr>
        <w:spacing w:after="110" w:line="276"/>
        <w:jc w:val="both"/>
      </w:pPr>
      <w:r>
        <w:rPr>
          <w:rFonts w:ascii="Calibri" w:cs="Calibri" w:eastAsia="Calibri" w:hAnsi="Calibri"/>
          <w:b/>
          <w:bCs/>
          <w:sz w:val="21"/>
          <w:szCs w:val="21"/>
        </w:rPr>
        <w:t xml:space="preserve">IMDb scores. </w:t>
      </w:r>
      <w:r>
        <w:rPr>
          <w:rFonts w:ascii="Calibri" w:cs="Calibri" w:eastAsia="Calibri" w:hAnsi="Calibri"/>
          <w:sz w:val="21"/>
          <w:szCs w:val="21"/>
        </w:rPr>
        <w:t xml:space="preserve">Scores follow a near-normal curve with a mean of 6.44 and median of 6.6; half of all films fall between 5.8 and 7.2, so high scores of 8 and above are relatively rare.</w:t>
      </w:r>
    </w:p>
    <w:p>
      <w:pPr>
        <w:keepNext/>
        <w:spacing w:after="40" w:before="60"/>
        <w:jc w:val="center"/>
      </w:pPr>
      <w:r>
        <w:drawing>
          <wp:inline distT="0" distB="0" distL="0" distR="0">
            <wp:extent cx="3524250" cy="2095500"/>
            <wp:effectExtent t="0" r="0" b="0" l="0"/>
            <wp:docPr id="1" name="cell10_8.png" descr="cell10_8.png" title="cell10_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524250" cy="2095500"/>
                    </a:xfrm>
                    <a:prstGeom prst="rect">
                      <a:avLst/>
                    </a:prstGeom>
                  </pic:spPr>
                </pic:pic>
              </a:graphicData>
            </a:graphic>
          </wp:inline>
        </w:drawing>
      </w:r>
    </w:p>
    <w:p>
      <w:pPr>
        <w:spacing w:after="140"/>
        <w:jc w:val="center"/>
      </w:pPr>
      <w:r>
        <w:rPr>
          <w:rFonts w:ascii="Calibri" w:cs="Calibri" w:eastAsia="Calibri" w:hAnsi="Calibri"/>
          <w:i/>
          <w:iCs/>
          <w:color w:val="595959"/>
          <w:sz w:val="18"/>
          <w:szCs w:val="18"/>
        </w:rPr>
        <w:t xml:space="preserve">Figure 6. Top 15 genres by number of movies.</w:t>
      </w:r>
    </w:p>
    <w:p>
      <w:pPr>
        <w:spacing w:after="110" w:line="276"/>
        <w:jc w:val="both"/>
      </w:pPr>
      <w:r>
        <w:rPr>
          <w:rFonts w:ascii="Calibri" w:cs="Calibri" w:eastAsia="Calibri" w:hAnsi="Calibri"/>
          <w:sz w:val="21"/>
          <w:szCs w:val="21"/>
        </w:rPr>
        <w:t xml:space="preserve">Drama is the most common genre (roughly 2,500 films), followed by Comedy, Thriller, Action and Romance. Niche genres such as Animation, Biography and Music sit at the bottom of the top 15, each with only a few hundred titles.</w:t>
      </w:r>
    </w:p>
    <w:p>
      <w:pPr>
        <w:pStyle w:val="Heading1"/>
        <w:pBdr>
          <w:bottom w:val="single" w:color="1F3A5F" w:sz="6" w:space="2"/>
        </w:pBdr>
        <w:spacing w:after="100" w:before="220"/>
      </w:pPr>
      <w:r>
        <w:rPr>
          <w:rFonts w:ascii="Calibri" w:cs="Calibri" w:eastAsia="Calibri" w:hAnsi="Calibri"/>
          <w:b/>
          <w:bCs/>
          <w:color w:val="1F3A5F"/>
          <w:sz w:val="28"/>
          <w:szCs w:val="28"/>
        </w:rPr>
        <w:t xml:space="preserve">9. Key Findings and Next Steps</w:t>
      </w:r>
    </w:p>
    <w:p>
      <w:pPr>
        <w:pStyle w:val="ListParagraph"/>
        <w:numPr>
          <w:ilvl w:val="0"/>
          <w:numId w:val="2"/>
        </w:numPr>
        <w:spacing w:after="60" w:line="264"/>
      </w:pPr>
      <w:r>
        <w:rPr>
          <w:rFonts w:ascii="Calibri" w:cs="Calibri" w:eastAsia="Calibri" w:hAnsi="Calibri"/>
          <w:sz w:val="21"/>
          <w:szCs w:val="21"/>
        </w:rPr>
        <w:t xml:space="preserve">The data is complete and unique at row level, but zeros in the likes columns and extreme budget values need treatment.</w:t>
      </w:r>
    </w:p>
    <w:p>
      <w:pPr>
        <w:pStyle w:val="ListParagraph"/>
        <w:numPr>
          <w:ilvl w:val="0"/>
          <w:numId w:val="2"/>
        </w:numPr>
        <w:spacing w:after="60" w:line="264"/>
      </w:pPr>
      <w:r>
        <w:rPr>
          <w:rFonts w:ascii="Calibri" w:cs="Calibri" w:eastAsia="Calibri" w:hAnsi="Calibri"/>
          <w:sz w:val="21"/>
          <w:szCs w:val="21"/>
        </w:rPr>
        <w:t xml:space="preserve">Audience engagement (votes and reviews) is the strongest signal for both revenue and rating, making it a promising feature set.</w:t>
      </w:r>
    </w:p>
    <w:p>
      <w:pPr>
        <w:pStyle w:val="ListParagraph"/>
        <w:numPr>
          <w:ilvl w:val="0"/>
          <w:numId w:val="2"/>
        </w:numPr>
        <w:spacing w:after="60" w:line="264"/>
      </w:pPr>
      <w:r>
        <w:rPr>
          <w:rFonts w:ascii="Calibri" w:cs="Calibri" w:eastAsia="Calibri" w:hAnsi="Calibri"/>
          <w:sz w:val="21"/>
          <w:szCs w:val="21"/>
        </w:rPr>
        <w:t xml:space="preserve">Skewed variables (budget, gross) should be log-transformed, and budget values should be standardised to a single currency before modelling.</w:t>
      </w:r>
    </w:p>
    <w:p>
      <w:pPr>
        <w:pStyle w:val="ListParagraph"/>
        <w:numPr>
          <w:ilvl w:val="0"/>
          <w:numId w:val="2"/>
        </w:numPr>
        <w:spacing w:after="60" w:line="264"/>
      </w:pPr>
      <w:r>
        <w:rPr>
          <w:rFonts w:ascii="Calibri" w:cs="Calibri" w:eastAsia="Calibri" w:hAnsi="Calibri"/>
          <w:sz w:val="21"/>
          <w:szCs w:val="21"/>
        </w:rPr>
        <w:t xml:space="preserve">Highly correlated features, such as actor_1 likes and total cast likes, should be reduced to limit multicollinearity.</w:t>
      </w:r>
    </w:p>
    <w:p>
      <w:pPr>
        <w:pStyle w:val="ListParagraph"/>
        <w:numPr>
          <w:ilvl w:val="0"/>
          <w:numId w:val="2"/>
        </w:numPr>
        <w:spacing w:after="60" w:line="264"/>
      </w:pPr>
      <w:r>
        <w:rPr>
          <w:rFonts w:ascii="Calibri" w:cs="Calibri" w:eastAsia="Calibri" w:hAnsi="Calibri"/>
          <w:sz w:val="21"/>
          <w:szCs w:val="21"/>
        </w:rPr>
        <w:t xml:space="preserve">Recommended next stage: feature engineering (genre encoding, decade, log budget), then baseline models for IMDb score and gross revenue.</w:t>
      </w:r>
    </w:p>
    <w:sectPr>
      <w:footerReference w:type="default" r:id="rId7"/>
      <w:pgSz w:w="11906" w:h="16838"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7"/>
        <w:szCs w:val="17"/>
      </w:rPr>
      <w:t xml:space="preserve">Movie Success Predictor - EDA Report  |  Page </w:t>
    </w:r>
    <w:r>
      <w:rPr>
        <w:rFonts w:ascii="Calibri" w:cs="Calibri" w:eastAsia="Calibri" w:hAnsi="Calibri"/>
        <w:color w:val="595959"/>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20"/>
      <w:outlineLvl w:val="0"/>
    </w:pPr>
    <w:rPr>
      <w:rFonts w:ascii="Calibri" w:cs="Calibri" w:eastAsia="Calibri" w:hAnsi="Calibri"/>
      <w:b/>
      <w:bCs/>
      <w:color w:val="1F3A5F"/>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171c504b68318fcff55383c1e2d40ce81f74b5a.png"/><Relationship Id="rId9" Type="http://schemas.openxmlformats.org/officeDocument/2006/relationships/image" Target="media/e47d96daf987601d22333f44db3d28530ae6e398.png"/><Relationship Id="rId10" Type="http://schemas.openxmlformats.org/officeDocument/2006/relationships/image" Target="media/766b30721fcf643b8e3e70ab9ec1e11e92e1c554.png"/><Relationship Id="rId11" Type="http://schemas.openxmlformats.org/officeDocument/2006/relationships/image" Target="media/a833b378e4553c9820889e715a5f9ee7ce86d176.png"/><Relationship Id="rId12" Type="http://schemas.openxmlformats.org/officeDocument/2006/relationships/image" Target="media/0dc524e32cbf1cb926bf55fb2a51fe430a5700d4.png"/><Relationship Id="rId13" Type="http://schemas.openxmlformats.org/officeDocument/2006/relationships/image" Target="media/077f509cbe948ba4e72e47ded320504a905484ca.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Movie Success Predictor - EDA Report</dc:title>
  <dc:creator>EDA Report</dc:creator>
  <cp:lastModifiedBy>Un-named</cp:lastModifiedBy>
  <cp:revision>1</cp:revision>
  <dcterms:created xsi:type="dcterms:W3CDTF">2026-10-13T17:51:07.389Z</dcterms:created>
  <dcterms:modified xsi:type="dcterms:W3CDTF">2026-10-13T17:51:07.389Z</dcterms:modified>
</cp:coreProperties>
</file>

<file path=docProps/custom.xml><?xml version="1.0" encoding="utf-8"?>
<Properties xmlns="http://schemas.openxmlformats.org/officeDocument/2006/custom-properties" xmlns:vt="http://schemas.openxmlformats.org/officeDocument/2006/docPropsVTypes"/>
</file>