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ster-case-acute-appendicitis"/>
    <w:p>
      <w:pPr>
        <w:pStyle w:val="Heading1"/>
      </w:pPr>
      <w:r>
        <w:t xml:space="preserve">Master Case: Acute Appendicitis</w:t>
      </w:r>
    </w:p>
    <w:bookmarkStart w:id="14" w:name="clinical-timeline-based-narrative"/>
    <w:p>
      <w:pPr>
        <w:pStyle w:val="Heading2"/>
      </w:pPr>
      <w:r>
        <w:t xml:space="preserve">Clinical Timeline-Based Narrative</w:t>
      </w:r>
    </w:p>
    <w:bookmarkStart w:id="9" w:name="triage-1800"/>
    <w:p>
      <w:pPr>
        <w:pStyle w:val="Heading3"/>
      </w:pPr>
      <w:r>
        <w:t xml:space="preserve">Triage (18:00)</w:t>
      </w:r>
    </w:p>
    <w:p>
      <w:pPr>
        <w:pStyle w:val="FirstParagraph"/>
      </w:pPr>
      <w:r>
        <w:rPr>
          <w:b/>
          <w:bCs/>
        </w:rPr>
        <w:t xml:space="preserve">Patient:</w:t>
      </w:r>
      <w:r>
        <w:t xml:space="preserve"> </w:t>
      </w:r>
      <w:r>
        <w:t xml:space="preserve">24-year-old male, previously fit and well.</w:t>
      </w:r>
      <w:r>
        <w:t xml:space="preserve"> </w:t>
      </w:r>
      <w:r>
        <w:rPr>
          <w:b/>
          <w:bCs/>
        </w:rPr>
        <w:t xml:space="preserve">Presentation:</w:t>
      </w:r>
      <w:r>
        <w:t xml:space="preserve"> </w:t>
      </w:r>
      <w:r>
        <w:t xml:space="preserve">Sudden onset of periumbilical abdominal pain that started 12 hours ago, now shifted to the right lower quadrant (RLQ). Reports loss of appetite and two episodes of vomiting.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BP 124/82 mmHg, HR 88 bpm, Temp 37.8°C, SpO2 99% on RA, RR 16.</w:t>
      </w:r>
      <w:r>
        <w:t xml:space="preserve"> </w:t>
      </w:r>
      <w:r>
        <w:rPr>
          <w:b/>
          <w:bCs/>
        </w:rPr>
        <w:t xml:space="preserve">Initial Assessment:</w:t>
      </w:r>
      <w:r>
        <w:t xml:space="preserve"> </w:t>
      </w:r>
      <w:r>
        <w:t xml:space="preserve">Patient is walking with a slight stoop. Pain is localized to the RLQ.</w:t>
      </w:r>
    </w:p>
    <w:bookmarkEnd w:id="9"/>
    <w:bookmarkStart w:id="10" w:name="initial-history-physical-exam-1830"/>
    <w:p>
      <w:pPr>
        <w:pStyle w:val="Heading3"/>
      </w:pPr>
      <w:r>
        <w:t xml:space="preserve">Initial History &amp; Physical Exam (18:30)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Pain History:</w:t>
      </w:r>
      <w:r>
        <w:t xml:space="preserve"> </w:t>
      </w:r>
      <w:r>
        <w:t xml:space="preserve">Started as a dull ache around the navel (visceral pain), then became sharp and localized to the RLQ (somatic pain) after 8 hours.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Exam:</w:t>
      </w:r>
      <w:r>
        <w:t xml:space="preserve"> </w:t>
      </w:r>
      <w:r>
        <w:t xml:space="preserve">Maximal tenderness at McBurney’s point. Positive Rovsing’s sign (pain in RLQ on palpation of LLQ). Rebound tenderness and guarding present in the RLQ. Psoas sign is positive.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Alvarado Score:</w:t>
      </w:r>
      <w:r>
        <w:t xml:space="preserve"> </w:t>
      </w:r>
      <w:r>
        <w:t xml:space="preserve">8/10 (Tenderness in RLQ, Elevated Temp, WBC count, Migration of pain, Anorexia, Nausea).</w:t>
      </w:r>
    </w:p>
    <w:bookmarkEnd w:id="10"/>
    <w:bookmarkStart w:id="11" w:name="diagnostic-decision-making-1900---2030"/>
    <w:p>
      <w:pPr>
        <w:pStyle w:val="Heading3"/>
      </w:pPr>
      <w:r>
        <w:t xml:space="preserve">Diagnostic Decision Making (19:00 - 20:30)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Labs:</w:t>
      </w:r>
      <w:r>
        <w:t xml:space="preserve"> </w:t>
      </w:r>
      <w:r>
        <w:t xml:space="preserve">WBC 13.5 x 10^9/L (Neutrophilia 80%), CRP 45 mg/L. Urinalysis is clear (ruling out UTI).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Imaging:</w:t>
      </w:r>
      <w:r>
        <w:t xml:space="preserve"> </w:t>
      </w:r>
      <w:r>
        <w:t xml:space="preserve">Based on the high clinical probability (Alvarado 8), some surgeons might proceed to surgery, but the local protocol favors CT confirmation in adult males to reduce negative appendectomy rates.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 Abdomen/Pelvis:</w:t>
      </w:r>
      <w:r>
        <w:t xml:space="preserve"> </w:t>
      </w:r>
      <w:r>
        <w:t xml:space="preserve">9mm dilated appendix with wall thickening, periappendiceal fat stranding, and a small appendicolith at the base. No evidence of perforation or abscess.</w:t>
      </w:r>
    </w:p>
    <w:bookmarkEnd w:id="11"/>
    <w:bookmarkStart w:id="12" w:name="acute-ed-management-2030---2200"/>
    <w:p>
      <w:pPr>
        <w:pStyle w:val="Heading3"/>
      </w:pPr>
      <w:r>
        <w:t xml:space="preserve">Acute ED Management (20:30 - 22:00)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Analgesia:</w:t>
      </w:r>
      <w:r>
        <w:t xml:space="preserve"> </w:t>
      </w:r>
      <w:r>
        <w:t xml:space="preserve">IV Paracetamol and low-dose Morphine for comfort.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Fluids:</w:t>
      </w:r>
      <w:r>
        <w:t xml:space="preserve"> </w:t>
      </w:r>
      <w:r>
        <w:t xml:space="preserve">IV Crystalloids started (1L bolus then maintenance).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Antibiotics:</w:t>
      </w:r>
      <w:r>
        <w:t xml:space="preserve"> </w:t>
      </w:r>
      <w:r>
        <w:t xml:space="preserve">Single dose of IV Co-amoxiclav (or Cefuroxime + Metronidazole) given.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Discussion:</w:t>
      </w:r>
      <w:r>
        <w:t xml:space="preserve"> </w:t>
      </w:r>
      <w:r>
        <w:t xml:space="preserve">Patient informed about the options: Appendectomy (standard of care) vs. Non-operative management (antibiotics only) based on CODA trial evidence. Patient elects for surgery.</w:t>
      </w:r>
    </w:p>
    <w:bookmarkEnd w:id="12"/>
    <w:bookmarkStart w:id="13" w:name="X8250be9c30b0a225ae25dc627be051f926cc996"/>
    <w:p>
      <w:pPr>
        <w:pStyle w:val="Heading3"/>
      </w:pPr>
      <w:r>
        <w:t xml:space="preserve">Surgical Intervention &amp; Disposition (22:00 onwards)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Procedure:</w:t>
      </w:r>
      <w:r>
        <w:t xml:space="preserve"> </w:t>
      </w:r>
      <w:r>
        <w:t xml:space="preserve">Laparoscopic Appendectomy. The appendix is found to be inflamed and suppurative but not perforated.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Post-Op:</w:t>
      </w:r>
      <w:r>
        <w:t xml:space="preserve"> </w:t>
      </w:r>
      <w:r>
        <w:t xml:space="preserve">Routine recovery. Discharged the following morning (Day 1) with oral antibiotics for 24 hours.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Disposition:</w:t>
      </w:r>
      <w:r>
        <w:t xml:space="preserve"> </w:t>
      </w:r>
      <w:r>
        <w:t xml:space="preserve">Outpatient follow-up in 2 weeks.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rapid-fire-clinical-questions-answers"/>
    <w:p>
      <w:pPr>
        <w:pStyle w:val="Heading2"/>
      </w:pPr>
      <w:r>
        <w:t xml:space="preserve">100 Rapid-Fire Clinical Questions &amp; Answers</w:t>
      </w:r>
    </w:p>
    <w:bookmarkStart w:id="15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classic sequence of symptoms in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Anorexia, followed by periumbilical pain, then vomiting, then migration of pain to the RLQ.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does the pain migrate?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Initial visceral pain (midgut distension) is periumbilical; once the parietal peritoneum is irritated, it becomes localized (somatic).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“hamburger sign”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If a patient is hungry and wants to eat, acute appendicitis is less likely (reflects anorexia).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the presentation differ in children?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More rapid progression, often present with perforation due to thin appendiceal wall and underdeveloped omentum.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</w:t>
      </w:r>
      <w:r>
        <w:t xml:space="preserve"> </w:t>
      </w:r>
      <w:r>
        <w:t xml:space="preserve">“pain before vomiting”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Appendicitis usually presents with pain first; vomiting first often suggests gastroenteritis.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appendicitis present in pregnancy?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Pain may be in the RUQ as the enlarging uterus displaces the appendix upwards.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cause of appendiceal obstruction in adults?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Fecalith (appendicolith).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cause in children?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Lymphoid hyperplasia (often after a viral illness).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</w:t>
      </w:r>
      <w:r>
        <w:t xml:space="preserve"> </w:t>
      </w:r>
      <w:r>
        <w:t xml:space="preserve">“retrocecal”</w:t>
      </w:r>
      <w:r>
        <w:t xml:space="preserve"> </w:t>
      </w:r>
      <w:r>
        <w:t xml:space="preserve">appendix?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 appendix located behind the cecum; may present with less anterior tenderness but more flank/hip pain.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diarrhea in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Unusual, but can occur if a pelvic appendix irritates the rectum.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fever usually high or low-grade in early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Low-grade; high fever (&gt;38.5°C) suggests perforation or abscess.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age range for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10 to 30 years old.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appendicitis be chronic?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Controversial, but</w:t>
      </w:r>
      <w:r>
        <w:t xml:space="preserve"> </w:t>
      </w:r>
      <w:r>
        <w:t xml:space="preserve">“recurrent appendicitis”</w:t>
      </w:r>
      <w:r>
        <w:t xml:space="preserve"> </w:t>
      </w:r>
      <w:r>
        <w:t xml:space="preserve">is recognized.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the</w:t>
      </w:r>
      <w:r>
        <w:t xml:space="preserve"> </w:t>
      </w:r>
      <w:r>
        <w:t xml:space="preserve">“stooped gait”</w:t>
      </w:r>
      <w:r>
        <w:t xml:space="preserve"> </w:t>
      </w:r>
      <w:r>
        <w:t xml:space="preserve">in these patients?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Reflects peritoneal irritation (trying to minimize movement).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a normal WBC rule out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but it makes it significantly less likely (high NPV).</w:t>
      </w:r>
    </w:p>
    <w:bookmarkEnd w:id="15"/>
    <w:bookmarkStart w:id="16" w:name="q16-q35-physical-exam"/>
    <w:p>
      <w:pPr>
        <w:pStyle w:val="Heading3"/>
      </w:pPr>
      <w:r>
        <w:t xml:space="preserve">Q16-Q35: Physical Exam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Where is McBurney’s point?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One-third of the distance from the ASIS to the umbilicus.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 Rovsing’s sign.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Pain in the RLQ when the LLQ is palpated.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Psoas sign?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Pain on passive extension of the right hip (suggests retrocecal appendix).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Obturator sign?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Pain on internal rotation of the flexed right hip (suggests pelvic appendix).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Blumberg’s sign?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Rebound tenderness.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Alvarado Score (MANTRELS)?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Migration, Anorexia, Nausea, Tenderness (RLQ), Rebound, Elevated Temp, Leukocytosis, Shift to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Which two items in the Alvarado score get 2 points?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RLQ tenderness and Leukocytosis.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Alvarado score suggests surgery is needed?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7 or higher.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score can be used to safely discharge (low risk)?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0-3.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AIR score?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Appendicitis Inflammatory Response score (alternative to Alvarado, uses CRP).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Dunphy’s sign?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Increased pain in the RLQ when coughing.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a palpable mass in the RLQ?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Suggests a phlegmon or appendiceal abscess.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perform a digital rectal exam (DRE)?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check for pelvic tenderness or abscess (though its utility is debated in simple appendicitis).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“heel-drop test”</w:t>
      </w:r>
      <w:r>
        <w:t xml:space="preserve"> </w:t>
      </w:r>
      <w:r>
        <w:t xml:space="preserve">(Markle sign)?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Pain in the RLQ when the patient drops from standing on toes to heels.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guarding voluntary or involuntary?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Can be both; involuntary guarding suggests true peritonitis.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“closed eyes sign”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If the patient closes their eyes during palpation, it’s more likely non-surgical pain.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test for the</w:t>
      </w:r>
      <w:r>
        <w:t xml:space="preserve"> </w:t>
      </w:r>
      <w:r>
        <w:t xml:space="preserve">“Psoas sign”</w:t>
      </w:r>
      <w:r>
        <w:t xml:space="preserve"> </w:t>
      </w:r>
      <w:r>
        <w:t xml:space="preserve">correctly?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Patient on left side, extend right leg back.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the obturator sign less common now?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Low sensitivity, often only positive in late/complicated cases.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sensitive sign of the physical exam?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RLQ tenderness.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specific?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Rebound tenderness and guarding.</w:t>
      </w:r>
    </w:p>
    <w:bookmarkEnd w:id="16"/>
    <w:bookmarkStart w:id="17" w:name="q36-q55-diagnostic-decision-making"/>
    <w:p>
      <w:pPr>
        <w:pStyle w:val="Heading3"/>
      </w:pPr>
      <w:r>
        <w:t xml:space="preserve">Q36-Q55: Diagnostic Decision Making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first-line imaging in children and pregnant women?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Ultrasound (US).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imaging of choice in adult males?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CT (low-dose protocol is preferred).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CT criteria for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Appendix diameter &gt;6mm, wall thickening (&gt;2mm), fat stranding, appendicolith.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US criteria?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Non-compressible appendix &gt;6mm, target sign,</w:t>
      </w:r>
      <w:r>
        <w:t xml:space="preserve"> </w:t>
      </w:r>
      <w:r>
        <w:t xml:space="preserve">“appendicolith”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if the US is inconclusive in a child?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Repeat US, MRI (if available), or low-dose 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MRI effective for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highly sensitive and specific, but limited by availability and cost.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“target sign”</w:t>
      </w:r>
      <w:r>
        <w:t xml:space="preserve"> </w:t>
      </w:r>
      <w:r>
        <w:t xml:space="preserve">on US/CT?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Cross-section of an inflamed appendix showing concentric layers.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use IV contrast in CT for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better visualize the appendiceal wall enhancement and identify abscesses.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negative appendectomy rate?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Historically 15-20%, now &lt;5-10% with routine use of 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“Apendicitis Severity Index”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Clinical-radiological scoring to predict complicated vs. uncomplicated disease.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role does CRP play?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Low CRP (&lt;10) after 24 hours of symptoms has a high NPV.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a normal appendix be visualized on 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in up to 80% of healthy individuals.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“blind-ended pouch”</w:t>
      </w:r>
      <w:r>
        <w:t xml:space="preserve"> </w:t>
      </w:r>
      <w:r>
        <w:t xml:space="preserve">rule?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You must see the blind end to confirm it’s the appendix on imaging.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a</w:t>
      </w:r>
      <w:r>
        <w:t xml:space="preserve"> </w:t>
      </w:r>
      <w:r>
        <w:t xml:space="preserve">“phlegmon”</w:t>
      </w:r>
      <w:r>
        <w:t xml:space="preserve"> </w:t>
      </w:r>
      <w:r>
        <w:t xml:space="preserve">look on 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Ill-defined inflammatory mass without a drainable fluid collection.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differential diagnosis for RLQ pain in a young female?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Ectopic pregnancy, Ovarian torsion, Ruptured ovarian cyst, PID, Endometriosis.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differential in an elderly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Cecal diverticulitis, cecal cancer, mesenteric ischemia, perforated ulcer.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do a CT if the Alvarado score is 9?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Many would still do a CT to confirm and rule out other causes, but some go straight to 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“ACR Appropriateness Criteria”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Guidelines stating CT with contrast is the most accurate imaging for adults.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risk of</w:t>
      </w:r>
      <w:r>
        <w:t xml:space="preserve"> </w:t>
      </w:r>
      <w:r>
        <w:t xml:space="preserve">“observation”</w:t>
      </w:r>
      <w:r>
        <w:t xml:space="preserve"> </w:t>
      </w:r>
      <w:r>
        <w:t xml:space="preserve">in equivocal cases?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Small risk of perforation, but many resolve (spontaneous resolution).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long can you observe?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6-12 hours with serial exams.</w:t>
      </w:r>
    </w:p>
    <w:bookmarkEnd w:id="17"/>
    <w:bookmarkStart w:id="18" w:name="q56-q75-acute-ed-management"/>
    <w:p>
      <w:pPr>
        <w:pStyle w:val="Heading3"/>
      </w:pPr>
      <w:r>
        <w:t xml:space="preserve">Q56-Q75: Acute ED Management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give analgesia before the surgical exam?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analgesia does not mask significant peritonitis and is humane.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APPAC trial?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landmark trial showing that 73% of patients with uncomplicated appendicitis can be treated with antibiotics alone (at 1 year follow-up).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CODA trial?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larger trial showing antibiotics-first is non-inferior to appendectomy, but 30% needed surgery within 90 days.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was a key finding regarding appendicoliths in CODA?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Patients with an appendicolith had a higher risk of complications and failed medical management.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“uncomplicated”</w:t>
      </w:r>
      <w:r>
        <w:t xml:space="preserve"> </w:t>
      </w:r>
      <w:r>
        <w:t xml:space="preserve">definition in these trials?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 perforation, no abscess, no appendicolith (usually).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antibiotic regimen used in the APPAC trial?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IV Ertapenem followed by oral Levofloxacin and Metronidazole.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Ertapenem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Once-daily dosing and broad coverage (including anaerobes).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standard perioperative antibiotic?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second-generation cephalosporin + metronidazole or Co-amoxiclav.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antibiotics be started?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Once the diagnosis is confirmed or highly suspected.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NPO status include sips of water?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strict NPO for 6-8 hours before general anesthesia.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the</w:t>
      </w:r>
      <w:r>
        <w:t xml:space="preserve"> </w:t>
      </w:r>
      <w:r>
        <w:t xml:space="preserve">“Surgical Whiteboard”</w:t>
      </w:r>
      <w:r>
        <w:t xml:space="preserve"> </w:t>
      </w:r>
      <w:r>
        <w:t xml:space="preserve">in 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track patients needing OR and ensure timely intervention.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fluid should be used for resuscitation in dehydration?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Normal Saline or Hartmann’s.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all patients get a pregnancy test?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any female of childbearing age with abdominal pain.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“delayed appendectomy”</w:t>
      </w:r>
      <w:r>
        <w:t xml:space="preserve"> </w:t>
      </w:r>
      <w:r>
        <w:t xml:space="preserve">approach?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For appendiceal abscess, treat with antibiotics/drainage first, then consider interval appendectomy.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</w:t>
      </w:r>
      <w:r>
        <w:t xml:space="preserve"> </w:t>
      </w:r>
      <w:r>
        <w:t xml:space="preserve">“interval appendectomy”</w:t>
      </w:r>
      <w:r>
        <w:t xml:space="preserve"> </w:t>
      </w:r>
      <w:r>
        <w:t xml:space="preserve">always necessary?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many skip it unless symptoms recur.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failure rate of medical management in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Roughly 25-30% within 1 year.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recurrence rate if antibiotics work?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Approximately 20-30%.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antibiotics be given orally from the start?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APPAC II trial showed oral antibiotics alone might be sufficient for uncomplicated disease.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“risk of malignancy”</w:t>
      </w:r>
      <w:r>
        <w:t xml:space="preserve"> </w:t>
      </w:r>
      <w:r>
        <w:t xml:space="preserve">in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Small (approx 1%), usually carcinoid tumors or mucinous neoplasms.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does this support surgery?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definitively rule out malignancy, especially in older patients.</w:t>
      </w:r>
    </w:p>
    <w:bookmarkEnd w:id="18"/>
    <w:bookmarkStart w:id="19" w:name="q76-q90-surgical-decisions"/>
    <w:p>
      <w:pPr>
        <w:pStyle w:val="Heading3"/>
      </w:pPr>
      <w:r>
        <w:t xml:space="preserve">Q76-Q90: Surgical Decisions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advantages of Laparoscopic Appendectomy (LA) over Open (OA)?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Less pain, faster recovery, lower wound infection rate, and better visualization of the abdomen.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is OA preferred?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 adhesions, unstable patient, or in some cases of severe perforation.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complication of LA?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Intra-abdominal abscess (slightly higher rate than OA).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complication of OA?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Wound infection.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is the appendiceal stump managed?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Ligation (endoloops, staples) or inversion.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 you do if the appendix looks normal during surgery?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Check the terminal ileum (Meckel’s diverticulum), Crohn’s, and ovaries. Most surgeons still remove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</w:t>
      </w:r>
      <w:r>
        <w:t xml:space="preserve"> </w:t>
      </w:r>
      <w:r>
        <w:t xml:space="preserve">“Meckel’s Diverticulum”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Remnant of the vitelline duct; can mimic appendicitis (</w:t>
      </w:r>
      <w:r>
        <w:t xml:space="preserve">“Rule of 2s”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manage a perforated appendix with generalized peritonitis?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Emergency surgery, extensive washout, and longer course of IV antibiotics.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manage an appendiceal abscess?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If stable: IV antibiotics and percutaneous drainage (if &gt;3cm). Surgery later if needed.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“Mesoappendix”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fold of peritoneum containing the appendicular artery.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“base”</w:t>
      </w:r>
      <w:r>
        <w:t xml:space="preserve"> </w:t>
      </w:r>
      <w:r>
        <w:t xml:space="preserve">of the appendix?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Where the three taeniae coli meet on the cecum.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an</w:t>
      </w:r>
      <w:r>
        <w:t xml:space="preserve"> </w:t>
      </w:r>
      <w:r>
        <w:t xml:space="preserve">“Incidental Appendectomy”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Removing a normal appendix during another abdominal procedure.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LA safe in pregnancy?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preferably in the second trimester, but can be done in any.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tumor of the appendix?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Carcinoid tumor (Neuroendocrine tumor).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is a hemicolectomy needed for appendiceal carcinoid?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If tumor is &gt;2cm, involves the base, or has positive margins/lymph nodes.</w:t>
      </w:r>
    </w:p>
    <w:bookmarkEnd w:id="19"/>
    <w:bookmarkStart w:id="20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can a patient be discharged post-appendectomy?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When they can tolerate oral intake, pain is controlled by oral meds, and they are ambulatory.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typical hospital stay for uncomplicated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&lt;24 hours (often same-day discharge now).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long should antibiotics continue for non-perforated appendicitis?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stopped within 24 hours of surgery.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long for perforated?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3 to 7 days, depending on clinical response.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late complication?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Adhesional small bowel obstruction.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prognosis for a simple appendectomy?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Excellent, very low mortality (&lt;0.1%).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follow-up plan for non-operative management?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Close monitoring; some recommend colonoscopy in those &gt;40 to rule out cecal cancer.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“Stump Appendicitis”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Recurrence in the remnant of the appendiceal stump.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is it prevented?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Leaving a stump &lt;5mm during the initial surgery.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can the patient resume heavy lifting?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2 to 4 weeks after laparoscopic surgery.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994176">
    <w:nsid w:val="0A994176"/>
    <w:multiLevelType w:val="multilevel"/>
    <w:lvl w:ilvl="0">
      <w:start w:val="76"/>
      <w:numFmt w:val="decimal"/>
      <w:lvlText w:val="%1."/>
      <w:lvlJc w:val="left"/>
      <w:pPr>
        <w:ind w:left="720" w:hanging="360"/>
      </w:pPr>
    </w:lvl>
    <w:lvl w:ilvl="1">
      <w:start w:val="76"/>
      <w:numFmt w:val="decimal"/>
      <w:lvlText w:val="%2."/>
      <w:lvlJc w:val="left"/>
      <w:pPr>
        <w:ind w:left="1440" w:hanging="360"/>
      </w:pPr>
    </w:lvl>
    <w:lvl w:ilvl="2">
      <w:start w:val="76"/>
      <w:numFmt w:val="decimal"/>
      <w:lvlText w:val="%3."/>
      <w:lvlJc w:val="left"/>
      <w:pPr>
        <w:ind w:left="2160" w:hanging="360"/>
      </w:pPr>
    </w:lvl>
    <w:lvl w:ilvl="3">
      <w:start w:val="76"/>
      <w:numFmt w:val="decimal"/>
      <w:lvlText w:val="%4."/>
      <w:lvlJc w:val="left"/>
      <w:pPr>
        <w:ind w:left="2880" w:hanging="360"/>
      </w:pPr>
    </w:lvl>
    <w:lvl w:ilvl="4">
      <w:start w:val="76"/>
      <w:numFmt w:val="decimal"/>
      <w:lvlText w:val="%5."/>
      <w:lvlJc w:val="left"/>
      <w:pPr>
        <w:ind w:left="3600" w:hanging="360"/>
      </w:pPr>
    </w:lvl>
    <w:lvl w:ilvl="5">
      <w:start w:val="76"/>
      <w:numFmt w:val="decimal"/>
      <w:lvlText w:val="%6."/>
      <w:lvlJc w:val="left"/>
      <w:pPr>
        <w:ind w:left="4320" w:hanging="360"/>
      </w:pPr>
    </w:lvl>
    <w:lvl w:ilvl="6">
      <w:start w:val="76"/>
      <w:numFmt w:val="decimal"/>
      <w:lvlText w:val="%7."/>
      <w:lvlJc w:val="left"/>
      <w:pPr>
        <w:ind w:left="5040" w:hanging="360"/>
      </w:pPr>
    </w:lvl>
    <w:lvl w:ilvl="7">
      <w:start w:val="76"/>
      <w:numFmt w:val="decimal"/>
      <w:lvlText w:val="%8."/>
      <w:lvlJc w:val="left"/>
      <w:pPr>
        <w:ind w:left="5760" w:hanging="360"/>
      </w:pPr>
    </w:lvl>
    <w:lvl w:ilvl="8">
      <w:start w:val="76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8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09">
    <w:abstractNumId w:val="9941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10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2026-04-02T21:50:53Z</dcterms:created>
  <dcterms:modified xsi:type="dcterms:W3CDTF">2026-04-02T21:50:53Z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