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ef4da32d7eab2c0506ca1b6aaeecc1e424a5ce"/>
    <w:p>
      <w:pPr>
        <w:pStyle w:val="Heading1"/>
      </w:pPr>
      <w:r>
        <w:t xml:space="preserve">Master Case: Acute Cholangitis and Cholecystitis</w:t>
      </w:r>
    </w:p>
    <w:bookmarkStart w:id="15" w:name="clinical-timeline-based-narrative"/>
    <w:p>
      <w:pPr>
        <w:pStyle w:val="Heading2"/>
      </w:pPr>
      <w:r>
        <w:t xml:space="preserve">Clinical Timeline-Based Narrative</w:t>
      </w:r>
    </w:p>
    <w:bookmarkStart w:id="9" w:name="triage-1000"/>
    <w:p>
      <w:pPr>
        <w:pStyle w:val="Heading3"/>
      </w:pPr>
      <w:r>
        <w:t xml:space="preserve">Triage (10:00)</w:t>
      </w:r>
    </w:p>
    <w:p>
      <w:pPr>
        <w:pStyle w:val="FirstParagraph"/>
      </w:pPr>
      <w:r>
        <w:rPr>
          <w:b/>
          <w:bCs/>
        </w:rPr>
        <w:t xml:space="preserve">Patient:</w:t>
      </w:r>
      <w:r>
        <w:t xml:space="preserve"> </w:t>
      </w:r>
      <w:r>
        <w:t xml:space="preserve">65-year-old female, history of gallstones and type 2 diabetes.</w:t>
      </w:r>
      <w:r>
        <w:t xml:space="preserve"> </w:t>
      </w:r>
      <w:r>
        <w:rPr>
          <w:b/>
          <w:bCs/>
        </w:rPr>
        <w:t xml:space="preserve">Presentation:</w:t>
      </w:r>
      <w:r>
        <w:t xml:space="preserve"> </w:t>
      </w:r>
      <w:r>
        <w:t xml:space="preserve">Severe right upper quadrant (RUQ) pain radiating to the back, nausea, and shivering.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BP 105/70 mmHg, HR 112 bpm, Temp 39.2°C, SpO2 96% on RA, RR 22.</w:t>
      </w:r>
      <w:r>
        <w:t xml:space="preserve"> </w:t>
      </w:r>
      <w:r>
        <w:rPr>
          <w:b/>
          <w:bCs/>
        </w:rPr>
        <w:t xml:space="preserve">Initial Assessment:</w:t>
      </w:r>
      <w:r>
        <w:t xml:space="preserve"> </w:t>
      </w:r>
      <w:r>
        <w:t xml:space="preserve">Visible jaundice in the sclera. Significant tenderness in the RUQ with a positive Murphy’s sign. Patient appears confused and mildly agitated.</w:t>
      </w:r>
    </w:p>
    <w:bookmarkEnd w:id="9"/>
    <w:bookmarkStart w:id="10" w:name="initial-history-risk-factors-1030"/>
    <w:p>
      <w:pPr>
        <w:pStyle w:val="Heading3"/>
      </w:pPr>
      <w:r>
        <w:t xml:space="preserve">Initial History &amp; Risk Factors (10:30)</w:t>
      </w:r>
    </w:p>
    <w:p>
      <w:pPr>
        <w:pStyle w:val="FirstParagraph"/>
      </w:pPr>
      <w:r>
        <w:t xml:space="preserve">Patient had similar but milder pain episodes over the last 3 months, usually after fatty meals. No previous abdominal surgeries. No recent weight loss. Medications include Metformin and Atorvastatin.</w:t>
      </w:r>
    </w:p>
    <w:bookmarkEnd w:id="10"/>
    <w:bookmarkStart w:id="11" w:name="diagnostic-workup-1100---1300"/>
    <w:p>
      <w:pPr>
        <w:pStyle w:val="Heading3"/>
      </w:pPr>
      <w:r>
        <w:t xml:space="preserve">Diagnostic Workup (11:00 - 13:00)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Labs:</w:t>
      </w:r>
      <w:r>
        <w:t xml:space="preserve"> </w:t>
      </w:r>
      <w:r>
        <w:t xml:space="preserve">WBC 18.0 x 10^9/L, CRP 150 mg/L, Bilirubin 85 μmol/L, ALP 450 U/L, GGT 600 U/L, ALT 150 U/L, Amylase 80 U/L.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Imaging (POCUS/Radiology US):</w:t>
      </w:r>
      <w:r>
        <w:t xml:space="preserve"> </w:t>
      </w:r>
      <w:r>
        <w:t xml:space="preserve">Gallbladder wall thickening (5mm), pericholecystic fluid, and multiple stones. Common Bile Duct (CBD) is dilated to 11mm with a distal shadowing stone.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Diagnosis:</w:t>
      </w:r>
      <w:r>
        <w:t xml:space="preserve"> </w:t>
      </w:r>
      <w:r>
        <w:t xml:space="preserve">Acute Cholangitis (Charcot’s Triad present: Fever, Jaundice, RUQ pain) and Acute Cholecystitis.</w:t>
      </w:r>
    </w:p>
    <w:bookmarkEnd w:id="11"/>
    <w:bookmarkStart w:id="12" w:name="severity-staging-1330"/>
    <w:p>
      <w:pPr>
        <w:pStyle w:val="Heading3"/>
      </w:pPr>
      <w:r>
        <w:t xml:space="preserve">Severity Staging (13:30)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TG18 Criteria:</w:t>
      </w:r>
      <w:r>
        <w:t xml:space="preserve"> </w:t>
      </w:r>
      <w:r>
        <w:t xml:space="preserve">Patient has hypotension (responsive to fluids but borderline), confusion (organ dysfunction), and high inflammatory markers. Staged as Grade III (Severe) Acute Cholangitis and Grade II Acute Cholecystitis.</w:t>
      </w:r>
    </w:p>
    <w:bookmarkEnd w:id="12"/>
    <w:bookmarkStart w:id="13" w:name="acute-management-1400---1600"/>
    <w:p>
      <w:pPr>
        <w:pStyle w:val="Heading3"/>
      </w:pPr>
      <w:r>
        <w:t xml:space="preserve">Acute Management (14:00 - 16:00)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Resuscitation:</w:t>
      </w:r>
      <w:r>
        <w:t xml:space="preserve"> </w:t>
      </w:r>
      <w:r>
        <w:t xml:space="preserve">Aggressive IV fluid resuscitation with 2L Normal Saline.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Antibiotics:</w:t>
      </w:r>
      <w:r>
        <w:t xml:space="preserve"> </w:t>
      </w:r>
      <w:r>
        <w:t xml:space="preserve">IV Piperacillin/Tazobactam started immediately after blood cultures.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Analgesia:</w:t>
      </w:r>
      <w:r>
        <w:t xml:space="preserve"> </w:t>
      </w:r>
      <w:r>
        <w:t xml:space="preserve">IV Morphine titrated for pain.</w:t>
      </w:r>
    </w:p>
    <w:bookmarkEnd w:id="13"/>
    <w:bookmarkStart w:id="14" w:name="X88e0d2c95d07269cc2bc559cfaf51511ca5c0f8"/>
    <w:p>
      <w:pPr>
        <w:pStyle w:val="Heading3"/>
      </w:pPr>
      <w:r>
        <w:t xml:space="preserve">Definitive Repair &amp; Disposition (16:00 onwards)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ERCP:</w:t>
      </w:r>
      <w:r>
        <w:t xml:space="preserve"> </w:t>
      </w:r>
      <w:r>
        <w:t xml:space="preserve">Emergent ERCP performed within 6 hours due to Grade III Cholangitis. Sphincterotomy and stone extraction with stent placement. Pus noted draining from the CBD (</w:t>
      </w:r>
      <w:r>
        <w:t xml:space="preserve">“Monkey’s spit”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Cholecystectomy:</w:t>
      </w:r>
      <w:r>
        <w:t xml:space="preserve"> </w:t>
      </w:r>
      <w:r>
        <w:t xml:space="preserve">Planned for later in the same admission once the inflammatory response subsides.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Disposition:</w:t>
      </w:r>
      <w:r>
        <w:t xml:space="preserve"> </w:t>
      </w:r>
      <w:r>
        <w:t xml:space="preserve">Admitted to the High Dependency Unit (HDU) for close monitoring.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clinical-questions-answers"/>
    <w:p>
      <w:pPr>
        <w:pStyle w:val="Heading2"/>
      </w:pPr>
      <w:r>
        <w:t xml:space="preserve">100 Rapid-Fire Clinical Questions &amp; Answers</w:t>
      </w:r>
    </w:p>
    <w:bookmarkStart w:id="16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three components of Charcot’s Triad?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RUQ pain, Fever, and Jaundice.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two additional components that make up Reynold’s Pentad?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Hypotension (Shock) and Altered Mental Status (Confusion).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does Reynold’s Pentad signify?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Obstructive suppurative cholangitis and high risk of mortality.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does biliary colic differ from cholecystitis in terms of pain duration?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Biliary colic usually lasts &lt;6 hours and resolves completely; cholecystitis is persistent.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Where does biliary pain classically radiate?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the right shoulder or interscapular region (Boas’ sign).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a history of diabetes in biliary sepsis?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Increased risk of emphysematous cholecystitis and more severe infection.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“Four F’s”</w:t>
      </w:r>
      <w:r>
        <w:t xml:space="preserve"> </w:t>
      </w:r>
      <w:r>
        <w:t xml:space="preserve">risk profile for gallstones?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Female, Forty, Fat, Fertile.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the absence of jaundice rule out acute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jaundice is more typical of cholangitis or Mirizzi syndrome.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Murphy’s sign?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Arrest of inspiration on deep palpation of the RUQ.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Murphy’s sign more sensitive or specific?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 specificity for acute cholecystitis.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differential for RUQ pain and fever besides biliary disease?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Liver abscess, right lower lobe pneumonia, Fitz-Hugh-Curtis syndrome (PID), and perforated peptic ulcer.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a patient have cholangitis without gallstones?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due to biliary stents, strictures (PSC), or malignancy.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</w:t>
      </w:r>
      <w:r>
        <w:t xml:space="preserve"> </w:t>
      </w:r>
      <w:r>
        <w:t xml:space="preserve">“shivering”</w:t>
      </w:r>
      <w:r>
        <w:t xml:space="preserve"> </w:t>
      </w:r>
      <w:r>
        <w:t xml:space="preserve">in this context?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Suggests bacteremia/sepsis.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first-line investigation for suspected biliary disease?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Transabdominal Ultrasound.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sensitivity of US for detecting CBD 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Relatively low (approx. 20-50%), though CBD dilation is more easily seen.</w:t>
      </w:r>
    </w:p>
    <w:bookmarkEnd w:id="16"/>
    <w:bookmarkStart w:id="17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TG18 diagnostic criteria for acute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Local signs of inflammation (Murphy’s, mass/pain), systemic signs (fever, CRP, WBC), and imaging findings.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TG18 diagnostic criteria for acute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Systemic inflammation, Cholestasis (Jaundice/abnormal LFTs), and Imaging (Dilation/etiology).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upper limit of normal for CBD diameter on US?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6mm (increases by 1mm per decade after 60, or up to 10mm post-cholecystectomy).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characteristic US findings of acute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Gallstones, gallbladder wall thickening (&gt;4mm), pericholecystic fluid, and sonographic Murphy’s sign.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“sonographic Murphy’s sign”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Maximal tenderness when the US probe is directly over the visualized gallbladder.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 HIDA scan?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Cholescintigraphy; failure to visualize the gallbladder suggests cystic duct obstruction (cholecystitis).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is a HIDA scan indicated?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When US is equivocal but clinical suspicion of cholecystitis is high.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CT in biliary emergencies?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Good for detecting complications (perforation, abscess, emphysema) and ruling out other pathologies.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gold standard for diagnosing CBD stones non-invasively?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MRCP (Magnetic Resonance Cholangiopancreatography).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is ERCP indicated over MRCP?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When there is a high probability of CBD stones and therapeutic intervention is needed (e.g., cholangitis).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LFT pattern is typical of biliary obstruction?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Cholestatic pattern (disproportionate rise in ALP and GGT compared to ALT/AST).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can a very high ALT/AST (&gt;1000) in a biliary case suggest?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Passing a stone or acute biliary hepatitis.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a high Amylase in this case?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Potential gallstone pancreatitis.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Mirizzi Syndrome.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stone in the cystic duct or GB neck compressing the common hepatic duct, causing jaundice.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emphysematous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Gas in the GB wall or lumen due to gas-forming organisms (Clostridium); a surgical emergency.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imaging finding is seen in emphysematous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Gas within the gallbladder wall or lumen on CT or X-ray.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MRI/MRCP safe in pregnancy?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it is preferred over 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“double duct sign”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Dilatation of both the CBD and the pancreatic duct, often suggesting a periampullary malignancy.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a negative US rule out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if clinical suspicion is high, proceed to CT or MRCP.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EUS (Endoscopic Ultrasound) in biliary disease?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Highly sensitive for small CBD stones, used when MRCP is equivocal.</w:t>
      </w:r>
    </w:p>
    <w:bookmarkEnd w:id="17"/>
    <w:bookmarkStart w:id="18" w:name="q36-q55-severity-staging"/>
    <w:p>
      <w:pPr>
        <w:pStyle w:val="Heading3"/>
      </w:pPr>
      <w:r>
        <w:t xml:space="preserve">Q36-Q55: Severity Staging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Grade III (Severe) Acute Cholangitis (TG18).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Cholangitis with at least one organ dysfunction (CV, CNS, Resp, Renal, Hepatic, or Heme).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Grade II (Moderate) Acute Cholangitis.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Abnormal WBC, high fever (≥39°C), age ≥75, jaundice (Bili ≥85), or hypoalbuminemia.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Grade I (Mild) Acute Cholangitis.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Does not meet Grade II or III criteria.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threshold for</w:t>
      </w:r>
      <w:r>
        <w:t xml:space="preserve"> </w:t>
      </w:r>
      <w:r>
        <w:t xml:space="preserve">“leukocytosis”</w:t>
      </w:r>
      <w:r>
        <w:t xml:space="preserve"> </w:t>
      </w:r>
      <w:r>
        <w:t xml:space="preserve">in TG18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WBC &gt;18,000/mm³.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Grade III (Severe) Acute Cholecystitis.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Cholecystitis with organ dysfunction.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Define Grade II (Moderate) Acute Cholecystitis.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WBC &gt;18k, palpable tender mass, duration &gt;72h, or marked local inflammation (gangrene, abscess).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</w:t>
      </w:r>
      <w:r>
        <w:t xml:space="preserve"> </w:t>
      </w:r>
      <w:r>
        <w:t xml:space="preserve">“duration of symptoms &gt;72h”</w:t>
      </w:r>
      <w:r>
        <w:t xml:space="preserve"> </w:t>
      </w:r>
      <w:r>
        <w:t xml:space="preserve">significant in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Associated with increased surgical difficulty and complications.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organ dysfunction defines CV failure in TG18?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Hypotension requiring dopamine ≥5 μg/kg/min or any dose of norepinephrine.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defines Renal dysfunction in TG18?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Creatinine &gt;176 μmol/L (2.0 mg/dL).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defines Hepatic dysfunction in TG18?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PT-INR &gt;1.5.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defines Heme dysfunction in TG18?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Platelet count &lt;100,000/mm³.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stage these patients?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determine the timing of biliary drainage and surgery.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recommended drainage timing for Grade III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Emergent (as soon as possible after stabilization).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recommended drainage timing for Grade II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Early (within 24-48 hours).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recommended drainage timing for Grade I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Elective or early if no response to medical management.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Grade III patients undergo immediate surgery?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they usually need drainage first to stabilize.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“Tokyo Criteria”</w:t>
      </w:r>
      <w:r>
        <w:t xml:space="preserve"> </w:t>
      </w:r>
      <w:r>
        <w:t xml:space="preserve">for biliary drainage?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TG18 guidelines specify that drainage is the priority in cholangitis.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mortality of untreated Grade III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Approaching 100%.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a palpable GB indicate cholecystitis or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More common in cholecystitis; in jaundice, it suggests malignancy (Courvoisier’s Law).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significance of high CRP in staging?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Marker of severity but not a specific organ dysfunction criterion.</w:t>
      </w:r>
    </w:p>
    <w:bookmarkEnd w:id="18"/>
    <w:bookmarkStart w:id="19" w:name="q56-q75-acute-ed-management"/>
    <w:p>
      <w:pPr>
        <w:pStyle w:val="Heading3"/>
      </w:pPr>
      <w:r>
        <w:t xml:space="preserve">Q56-Q75: Acute ED Management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first priority in managing biliary sepsis?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Fluid resuscitation and hemodynamic stabilization.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empirical antibiotic of choice for community-acquired biliary infection (Grade I/II)?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Cefotaxime/Ceftriaxone or Ciprofloxacin + Metronidazole.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choice for Grade III or healthcare-associated infection?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Piperacillin/Tazobactam or Carbapenems.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add Metronidazole to Ceftriaxone?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To cover anaerobic organisms (e.g., Bacteroides).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are the most common organisms isolated in bile?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E. coli, Klebsiella, and Enterococcus.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many sets of blood cultures should be taken?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At least two sets.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bile be cultured during drainage?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it has a higher yield than blood cultures.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preferred analgesia?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NSAIDs (if no renal contraindication) and Opioids (Morphine/Fentanyl).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Does Morphine cause Sphincter of Oddi spasm?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Theoretically yes, but not clinically significant in management.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fluid of choice for resuscitation?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Balanced crystalloids (e.g., Hartmann’s or Plasmalyte).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the patient be NPO (Nil per os)?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in anticipation of possible surgery or ERCP.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there a role for Ursodeoxycholic acid in the acute setting?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should biliary colic pain be managed in the 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IM/IV Diclofenac is often very effective.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a surgical consult be obtained?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Immediately upon diagnosis of cholecystitis or cholangitis.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“Sepsis Six”</w:t>
      </w:r>
      <w:r>
        <w:t xml:space="preserve"> </w:t>
      </w:r>
      <w:r>
        <w:t xml:space="preserve">bundle?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Give Oxygen, IV Fluids, Antibiotics; Take Blood cultures, Lactate, Urine output.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target urine output during resuscitation?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0.5 ml/kg/hour.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should vasopressors be started?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If MAP &lt;65 mmHg despite adequate fluid resuscitation.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role of Vitamin K?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Indicated if INR is elevated due to obstructive jaundice.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patients with biliary colic be discharged?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if pain is controlled, they can tolerate oral intake, and have no signs of cholecystitis/cholangitis.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follow-up for discharged biliary colic?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Elective outpatient cholecystectomy.</w:t>
      </w:r>
    </w:p>
    <w:bookmarkEnd w:id="19"/>
    <w:bookmarkStart w:id="20" w:name="q76-q90-definitive-repair"/>
    <w:p>
      <w:pPr>
        <w:pStyle w:val="Heading3"/>
      </w:pPr>
      <w:r>
        <w:t xml:space="preserve">Q76-Q90: Definitive Repair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definitive treatment for acute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Biliary decompression (ERCP is the gold standard).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alternative if ERCP fails?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PTCD (Percutaneous Transhepatic Cholangiography and Drainage) or surgical drainage.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definitive treatment for acute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Laparoscopic Cholecystectomy.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optimal timing for cholecystectomy in acute cholecystitis?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Early (within 72 hours of symptom onset) is superior to delayed.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Why is early surgery preferred?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Reduces total hospital stay and avoids the risk of recurrent attacks during the waiting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if the patient is too high-risk for surgery?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Percutaneous Cholecystostomy (drainage of the gallbladder).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definitive management of CBD 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ERCP with sphincterotomy or laparoscopic CBD exploration.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Can cholecystectomy be done in the same session as ERCP?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Yes, or within a few days.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 Laparoscopic Subtotal Cholecystectomy?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bailout procedure when Calot’s triangle cannot be safely dissected (to avoid bile duct injury).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</w:t>
      </w:r>
      <w:r>
        <w:t xml:space="preserve"> </w:t>
      </w:r>
      <w:r>
        <w:t xml:space="preserve">“Critical View of Safety”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 surgical technique to identify the cystic duct and artery clearly before clipping.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risk of ERCP?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Post-ERCP pancreatitis (PEP), bleeding, perforation, and infection.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can PEP be reduced?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Rectal NSAIDs (Indomethacin/Diclofenac) and pancreatic stenting in high-risk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Is surgery indicated for asymptomatic gallstones?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Generally no, unless there is a specific risk (e.g., porcelain gallbladder).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a porcelain gallbladder?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Calcification of the gallbladder wall, associated with a high risk of gallbladder cancer.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management of a bile leak post-cholecystectomy?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managed with ERCP and stenting.</w:t>
      </w:r>
    </w:p>
    <w:bookmarkEnd w:id="20"/>
    <w:bookmarkStart w:id="21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Which patients need HDU/ICU?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Grade III cases and those with significant comorbidities or persistent shock.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recurrence risk of biliary colic if the GB is not removed?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Approximately 30% per year.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risk of recurrent cholangitis after ERCP if the GB is left in situ?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Significant; cholecystectomy is recommended unless contraindicated.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How long should antibiotics continue post-drainage in cholangitis?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4-7 days if infection is controlled.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prognosis for Grade I/II cholangitis with appropriate treatment?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Excellent, with low mortality.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mortality of Reynold’s Pentad?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High, often &gt;30% even with modern care.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Should patients be screened for HCC if they have gallstones?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No, but they should be screened if they have cirrhosis or certain chronic liver diseases.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 the follow-up for a patient with a biliary stent?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Stents usually need removal or exchange within 3 months to prevent clogging.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What is</w:t>
      </w:r>
      <w:r>
        <w:t xml:space="preserve"> </w:t>
      </w:r>
      <w:r>
        <w:t xml:space="preserve">“post-cholecystectomy syndrome”</w:t>
      </w:r>
      <w:r>
        <w:t xml:space="preserve">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Persistence of RUQ pain after surgery, often due to retained stones, SOD dysfunction, or other causes.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Q:</w:t>
      </w:r>
      <w:r>
        <w:t xml:space="preserve"> </w:t>
      </w:r>
      <w:r>
        <w:t xml:space="preserve">When can a patient return to normal activities after lap chole?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Usually within 1-2 weeks.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36">
    <w:nsid w:val="0A9941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decimal"/>
      <w:lvlText w:val="%2."/>
      <w:lvlJc w:val="left"/>
      <w:pPr>
        <w:ind w:left="1440" w:hanging="360"/>
      </w:pPr>
    </w:lvl>
    <w:lvl w:ilvl="2">
      <w:start w:val="36"/>
      <w:numFmt w:val="decimal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decimal"/>
      <w:lvlText w:val="%5."/>
      <w:lvlJc w:val="left"/>
      <w:pPr>
        <w:ind w:left="3600" w:hanging="360"/>
      </w:pPr>
    </w:lvl>
    <w:lvl w:ilvl="5">
      <w:start w:val="36"/>
      <w:numFmt w:val="decimal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decimal"/>
      <w:lvlText w:val="%8."/>
      <w:lvlJc w:val="left"/>
      <w:pPr>
        <w:ind w:left="5760" w:hanging="360"/>
      </w:pPr>
    </w:lvl>
    <w:lvl w:ilvl="8">
      <w:start w:val="36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76">
    <w:nsid w:val="0A994176"/>
    <w:multiLevelType w:val="multilevel"/>
    <w:lvl w:ilvl="0">
      <w:start w:val="76"/>
      <w:numFmt w:val="decimal"/>
      <w:lvlText w:val="%1."/>
      <w:lvlJc w:val="left"/>
      <w:pPr>
        <w:ind w:left="720" w:hanging="360"/>
      </w:pPr>
    </w:lvl>
    <w:lvl w:ilvl="1">
      <w:start w:val="76"/>
      <w:numFmt w:val="decimal"/>
      <w:lvlText w:val="%2."/>
      <w:lvlJc w:val="left"/>
      <w:pPr>
        <w:ind w:left="1440" w:hanging="360"/>
      </w:pPr>
    </w:lvl>
    <w:lvl w:ilvl="2">
      <w:start w:val="76"/>
      <w:numFmt w:val="decimal"/>
      <w:lvlText w:val="%3."/>
      <w:lvlJc w:val="left"/>
      <w:pPr>
        <w:ind w:left="2160" w:hanging="360"/>
      </w:pPr>
    </w:lvl>
    <w:lvl w:ilvl="3">
      <w:start w:val="76"/>
      <w:numFmt w:val="decimal"/>
      <w:lvlText w:val="%4."/>
      <w:lvlJc w:val="left"/>
      <w:pPr>
        <w:ind w:left="2880" w:hanging="360"/>
      </w:pPr>
    </w:lvl>
    <w:lvl w:ilvl="4">
      <w:start w:val="76"/>
      <w:numFmt w:val="decimal"/>
      <w:lvlText w:val="%5."/>
      <w:lvlJc w:val="left"/>
      <w:pPr>
        <w:ind w:left="3600" w:hanging="360"/>
      </w:pPr>
    </w:lvl>
    <w:lvl w:ilvl="5">
      <w:start w:val="76"/>
      <w:numFmt w:val="decimal"/>
      <w:lvlText w:val="%6."/>
      <w:lvlJc w:val="left"/>
      <w:pPr>
        <w:ind w:left="4320" w:hanging="360"/>
      </w:pPr>
    </w:lvl>
    <w:lvl w:ilvl="6">
      <w:start w:val="76"/>
      <w:numFmt w:val="decimal"/>
      <w:lvlText w:val="%7."/>
      <w:lvlJc w:val="left"/>
      <w:pPr>
        <w:ind w:left="5040" w:hanging="360"/>
      </w:pPr>
    </w:lvl>
    <w:lvl w:ilvl="7">
      <w:start w:val="76"/>
      <w:numFmt w:val="decimal"/>
      <w:lvlText w:val="%8."/>
      <w:lvlJc w:val="left"/>
      <w:pPr>
        <w:ind w:left="5760" w:hanging="360"/>
      </w:pPr>
    </w:lvl>
    <w:lvl w:ilvl="8">
      <w:start w:val="76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7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08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09">
    <w:abstractNumId w:val="9941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10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2026-04-02T21:50:53Z</dcterms:created>
  <dcterms:modified xsi:type="dcterms:W3CDTF">2026-04-02T21:50:53Z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