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3b6c4380321a4e0b8e765544b704f5659086f3"/>
    <w:p>
      <w:pPr>
        <w:pStyle w:val="Heading1"/>
      </w:pPr>
      <w:r>
        <w:t xml:space="preserve">Master Case: Decompensated Cirrhosis and Spontaneous Bacterial Peritonitis (SBP)</w:t>
      </w:r>
    </w:p>
    <w:bookmarkStart w:id="14" w:name="clinical-timeline-based-narrative"/>
    <w:p>
      <w:pPr>
        <w:pStyle w:val="Heading2"/>
      </w:pPr>
      <w:r>
        <w:t xml:space="preserve">Clinical Timeline-Based Narrative</w:t>
      </w:r>
    </w:p>
    <w:bookmarkStart w:id="9" w:name="triage-0830"/>
    <w:p>
      <w:pPr>
        <w:pStyle w:val="Heading3"/>
      </w:pPr>
      <w:r>
        <w:t xml:space="preserve">Triage (08:30)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58-year-old male, known history of chronic alcohol-related liver disease (ARLD).</w:t>
      </w:r>
      <w:r>
        <w:t xml:space="preserve"> </w:t>
      </w:r>
      <w:r>
        <w:rPr>
          <w:b/>
          <w:bCs/>
        </w:rPr>
        <w:t xml:space="preserve">Presentation:</w:t>
      </w:r>
      <w:r>
        <w:t xml:space="preserve"> </w:t>
      </w:r>
      <w:r>
        <w:t xml:space="preserve">Brought by family for progressive jaundice, worsening abdominal distension over 5 days, and</w:t>
      </w:r>
      <w:r>
        <w:t xml:space="preserve"> </w:t>
      </w:r>
      <w:r>
        <w:t xml:space="preserve">“not acting like himself”</w:t>
      </w:r>
      <w:r>
        <w:t xml:space="preserve"> </w:t>
      </w:r>
      <w:r>
        <w:t xml:space="preserve">for 24 hours.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BP 98/62 mmHg, HR 105 bpm, Temp 38.1°C, SpO2 95% on RA, RR 20.</w:t>
      </w:r>
      <w:r>
        <w:t xml:space="preserve"> </w:t>
      </w:r>
      <w:r>
        <w:rPr>
          <w:b/>
          <w:bCs/>
        </w:rPr>
        <w:t xml:space="preserve">Initial Assessment:</w:t>
      </w:r>
      <w:r>
        <w:t xml:space="preserve"> </w:t>
      </w:r>
      <w:r>
        <w:t xml:space="preserve">Patient is lethargic, scleral icterus present, abdominal wall taut with shifting dullness and mild generalized tenderness. Flapping tremor (asterixis) noted.</w:t>
      </w:r>
    </w:p>
    <w:bookmarkEnd w:id="9"/>
    <w:bookmarkStart w:id="10" w:name="initial-history-risk-factors-0900"/>
    <w:p>
      <w:pPr>
        <w:pStyle w:val="Heading3"/>
      </w:pPr>
      <w:r>
        <w:t xml:space="preserve">Initial History &amp; Risk Factors (09:00)</w:t>
      </w:r>
    </w:p>
    <w:p>
      <w:pPr>
        <w:pStyle w:val="FirstParagraph"/>
      </w:pPr>
      <w:r>
        <w:t xml:space="preserve">Patient has been drinking 40-50 units of alcohol weekly for 15 years. No recent travel, no paracetamol use, but had a</w:t>
      </w:r>
      <w:r>
        <w:t xml:space="preserve"> </w:t>
      </w:r>
      <w:r>
        <w:t xml:space="preserve">“flu-like illness”</w:t>
      </w:r>
      <w:r>
        <w:t xml:space="preserve"> </w:t>
      </w:r>
      <w:r>
        <w:t xml:space="preserve">1 week ago and took several doses of ibuprofen. No previous history of variceal bleeding.</w:t>
      </w:r>
    </w:p>
    <w:bookmarkEnd w:id="10"/>
    <w:bookmarkStart w:id="11" w:name="diagnostic-workup-0930---1130"/>
    <w:p>
      <w:pPr>
        <w:pStyle w:val="Heading3"/>
      </w:pPr>
      <w:r>
        <w:t xml:space="preserve">Diagnostic Workup (09:30 - 11:30)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Labs:</w:t>
      </w:r>
      <w:r>
        <w:t xml:space="preserve"> </w:t>
      </w:r>
      <w:r>
        <w:t xml:space="preserve">Bilirubin 120 μmol/L, Albumin 24 g/L, INR 1.9, Creatinine 145 μmol/L (baseline 85), WBC 14.5 x 10^9/L (Neutrophils 11.0), Platelets 65 x 10^9/L.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Scoring:</w:t>
      </w:r>
      <w:r>
        <w:t xml:space="preserve"> </w:t>
      </w:r>
      <w:r>
        <w:t xml:space="preserve">MELD score calculated as 28. Child-Pugh Score is 12 (Class 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Bedside Paracentesis:</w:t>
      </w:r>
      <w:r>
        <w:t xml:space="preserve"> </w:t>
      </w:r>
      <w:r>
        <w:t xml:space="preserve">Performed within 2 hours of arrival. Fluid is cloudy.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Fluid Analysis:</w:t>
      </w:r>
      <w:r>
        <w:t xml:space="preserve"> </w:t>
      </w:r>
      <w:r>
        <w:t xml:space="preserve">Neutrophil count 450 cells/mm³. Fluid culture sent in blood culture bottles.</w:t>
      </w:r>
    </w:p>
    <w:bookmarkEnd w:id="11"/>
    <w:bookmarkStart w:id="12" w:name="acute-management-1130---1400"/>
    <w:p>
      <w:pPr>
        <w:pStyle w:val="Heading3"/>
      </w:pPr>
      <w:r>
        <w:t xml:space="preserve">Acute Management (11:30 - 14:00)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Antibiotics:</w:t>
      </w:r>
      <w:r>
        <w:t xml:space="preserve"> </w:t>
      </w:r>
      <w:r>
        <w:t xml:space="preserve">IV Ceftriaxone 2g started.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Albumin:</w:t>
      </w:r>
      <w:r>
        <w:t xml:space="preserve"> </w:t>
      </w:r>
      <w:r>
        <w:t xml:space="preserve">1.5g/kg IV Albumin (20%) initiated for renal protection.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Encephalopathy:</w:t>
      </w:r>
      <w:r>
        <w:t xml:space="preserve"> </w:t>
      </w:r>
      <w:r>
        <w:t xml:space="preserve">Lactulose 30ml TDS and Rifaximin 550mg BD started via NG tube as patient is too drowsy to swallow safely.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Fluids:</w:t>
      </w:r>
      <w:r>
        <w:t xml:space="preserve"> </w:t>
      </w:r>
      <w:r>
        <w:t xml:space="preserve">Careful fluid resuscitation with albumin rather than saline to avoid worsening ascites.</w:t>
      </w:r>
    </w:p>
    <w:bookmarkEnd w:id="12"/>
    <w:bookmarkStart w:id="13" w:name="Xbb547884c793458377549bea8cb862066ee65c4"/>
    <w:p>
      <w:pPr>
        <w:pStyle w:val="Heading3"/>
      </w:pPr>
      <w:r>
        <w:t xml:space="preserve">Complications and Definitive Care (Day 2 - Day 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Renal Function:</w:t>
      </w:r>
      <w:r>
        <w:t xml:space="preserve"> </w:t>
      </w:r>
      <w:r>
        <w:t xml:space="preserve">Creatinine continues to rise despite albumin. Terlipressin infusion started for Hepatorenal Syndrome (HRS).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Culture Results:</w:t>
      </w:r>
      <w:r>
        <w:t xml:space="preserve"> </w:t>
      </w:r>
      <w:r>
        <w:t xml:space="preserve">E. coli grown, sensitive to Ceftriaxone.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Prognosis:</w:t>
      </w:r>
      <w:r>
        <w:t xml:space="preserve"> </w:t>
      </w:r>
      <w:r>
        <w:t xml:space="preserve">King’s College Criteria reviewed; patient does not meet criteria for emergency transplant at this moment (Non-paracetamol ALF/ACLF), but transplant referral initiated. Transfer to Liver Intensive Care Unit for monitoring.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rapid-fire-clinical-questions-answers"/>
    <w:p>
      <w:pPr>
        <w:pStyle w:val="Heading2"/>
      </w:pPr>
      <w:r>
        <w:t xml:space="preserve">100 Rapid-Fire Clinical Questions &amp; Answers</w:t>
      </w:r>
    </w:p>
    <w:bookmarkStart w:id="15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cause of acute-on-chronic liver failure (ACLF) in the UK?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Alcohol-related liver disease and non-alcoholic fatty liver disease (NAFLD/MASLD).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Which hepatotoxin must be ruled out in every acute liver injury?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Paracetamol (acetaminophen).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much alcohol consumption per week is generally considered high risk for cirrhosis in men?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&gt;35 units per week (BSG).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key elements of the</w:t>
      </w:r>
      <w:r>
        <w:t xml:space="preserve"> </w:t>
      </w:r>
      <w:r>
        <w:t xml:space="preserve">“triple hit”</w:t>
      </w:r>
      <w:r>
        <w:t xml:space="preserve"> </w:t>
      </w:r>
      <w:r>
        <w:t xml:space="preserve">in renal failure in cirrhosis?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SBP, NSAIDs, and diuretics.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ibuprofen a risk factor in this case?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NSAIDs cause renal vasoconstriction and can precipitate HRS or GI bleeding.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asterixis?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indicates Grade 2 or higher hepatic encephalopathy.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should alcohol withdrawal be managed in liver failure?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Benzodiazepines (e.g., Lorazepam/Chlordiazepoxide) or Clomethiazole, though titrated carefully to avoid over-sedation.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“shifting dullness”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has high sensitivity for detecting at least 1500ml of ascites.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definition of Acute Liver Failure (ALF)?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Acute onset of liver dysfunction, coagulopathy (INR &gt;1.5), and encephalopathy in a patient without pre-existing cirrhosis.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this patient have ALF or ACLF?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ACLF, as he has a background of chronic liver disease.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earliest sign of hepatic encephalopathy?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Reversal of sleep-wake cycle and subtle personality changes (Grade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the</w:t>
      </w:r>
      <w:r>
        <w:t xml:space="preserve"> </w:t>
      </w:r>
      <w:r>
        <w:t xml:space="preserve">“spider naevi”</w:t>
      </w:r>
      <w:r>
        <w:t xml:space="preserve"> </w:t>
      </w:r>
      <w:r>
        <w:t xml:space="preserve">distribution?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Superior vena cava distribution (neck, chest, arms).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Caput Medusae?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Engorged paraumbilical veins indicating portal hypertension.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might a patient with cirrhosis have a normal or low 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Splanchnic vasodilation and reduced systemic vascular resistance.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imaging for a patient with new abdominal distension?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Abdominal Ultrasound.</w:t>
      </w:r>
    </w:p>
    <w:bookmarkEnd w:id="15"/>
    <w:bookmarkStart w:id="16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five variables in the Child-Pugh score?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Bilirubin, Albumin, INR, Ascites, Encephalopathy.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three variables in the original MELD score?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Bilirubin, INR, Creatinine.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MELD-Na?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MELD score including Sodium, better at predicting 90-day mortality.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King’s College Criteria for paracetamol-induced ALF?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Arterial pH &lt;7.3 OR (INR &gt;6.5, Cr &gt;300, and Grade 3/4 encephalopathy).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King’s College Criteria for non-paracetamol ALF?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INR &gt;6.5 OR 3 of 5 (Age &lt;10 or &gt;40, Jaundice to Encephalopathy &gt;7 days, INR &gt;3.5, Bilirubin &gt;300, Etiology - e.g. drug/seronegative).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“Golden Hour”</w:t>
      </w:r>
      <w:r>
        <w:t xml:space="preserve"> </w:t>
      </w:r>
      <w:r>
        <w:t xml:space="preserve">for paracentesis in suspected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Preferably within 6 hours of admission, definitely &lt;24 hours.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SAAG?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Serum-Ascites Albumin Gradient (Serum Albumin - Ascites Albumin).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a SAAG &gt;11 g/L indicate?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Portal hypertension (e.g., Cirrhosis, Heart Failure, Budd-Chiari).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a SAAG &lt;11 g/L indicate?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Non-portal hypertensive causes (e.g., Malignancy, TB, Nephrotic syndrome).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definition of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Ascitic fluid PMN count ≥250 cells/mm³ without an intra-abdominal source of infection.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the PMN count calculated?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Total Ascitic WBC count × % Neutrophils.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should you do if the paracentesis is</w:t>
      </w:r>
      <w:r>
        <w:t xml:space="preserve"> </w:t>
      </w:r>
      <w:r>
        <w:t xml:space="preserve">“bloody”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Subtract 1 PMN for every 250 RBCs to get the true PMN 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send ascitic fluid in blood culture bottles?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Increases the culture yield from 40% to over 80%.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high ascitic protein (&gt;10 g/L)?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Lower risk of SBP; protein &lt;15 g/L is a risk factor for SBP.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SBP be diagnosed if the culture is negative?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if PMNs ≥250; this is called culture-negative neutrocytic ascites.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monomicrobial non-neutrocytic bacterascites?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Positive culture but PMNs &lt;250; usually treated if patient has symptoms.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a very high ascitic glucose and LDH suggest?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Secondary peritonitis (e.g., perforated viscus).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Procalcitonin in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Limited, but high levels support a diagnosis of bacterial infection.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 CT abdomen needed for all patients with ascites?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but useful if secondary peritonitis or HCC is suspected.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MELD score threshold for liver transplant consideration?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≥15.</w:t>
      </w:r>
    </w:p>
    <w:bookmarkEnd w:id="16"/>
    <w:bookmarkStart w:id="17" w:name="q36-q55-ascites-sbp"/>
    <w:p>
      <w:pPr>
        <w:pStyle w:val="Heading3"/>
      </w:pPr>
      <w:r>
        <w:t xml:space="preserve">Q36-Q55: Ascites &amp; SBP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organism causing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Escherichia coli.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second most common?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Klebsiella pneumoniae.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SBP occur?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Bacterial translocation from the gut into the mesenteric lymph nodes and then the bloodstream/ascites.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dose of Albumin is given for SBP on Day 1?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1.5g per kg of body weight.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dose is given on Day 3?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1.0g per kg of body weight.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criteria for giving Albumin in SBP (to prevent HRS)?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Cr &gt;88 μmol/L, Urea &gt;11 mmol/L, or Bilirubin &gt;68 μmol/L (though many give to all SBP patients).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much fluid should be removed in a diagnostic tap?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20-30ml.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Large Volume Paracentesis (LVP) be performed?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For symptom relief (tense ascites).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much Albumin is needed during LVP?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8g per litre of fluid removed if &gt;5 litres are removed.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 LVP without albumin?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Paracentesis-induced circulatory dysfunction (PICD) and renal failure.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diuretics be continued during SBP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Generally held, especially if there is renal impairment or hypotension.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diuretic for long-term ascites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Spironolactone.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second-line diuretic?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Furosemide.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maximum recommended weight loss per day with diuretics in a patient with edema?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1.0 kg.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limit if there is no peripheral edema?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0.5 kg.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“refractory ascites”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Ascites that cannot be mobilized or that recurs early despite sodium restriction and max dose diuretics.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sodium restriction goal in ascites?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&lt;2g (90 mmol) per day.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fluid restriction necessary in ascites?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Only if serum sodium is &lt;125-130 mmol/L.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 repeat paracentesis?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Infection, bleeding (rare even with high INR), and bowel perforation.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SBP be treated before or after paracentesis results?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Immediately once PMN count is confirmed as ≥250.</w:t>
      </w:r>
    </w:p>
    <w:bookmarkEnd w:id="17"/>
    <w:bookmarkStart w:id="18" w:name="q56-q75-acute-ed-management"/>
    <w:p>
      <w:pPr>
        <w:pStyle w:val="Heading3"/>
      </w:pPr>
      <w:r>
        <w:t xml:space="preserve">Q56-Q75: Acute ED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empirical antibiotic of choice for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Third-generation cephalosporins (e.g., Ceftriaxone or Cefotaxime).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Piperacillin/Tazobactam be used instead?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 hospital-acquired SBP or if there is a risk of multi-drug resistant organisms.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is the standard course of antibiotics for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5 to 7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is a repeat paracentesis at 48 hours 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the patient is not improving or if atypical organisms are suspected.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indicates a successful response on repeat paracentesis?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&gt;25% reduction in PMN count.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Who should receive secondary SBP prophylaxis?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Anyone who has had one episode of SBP.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drug of choice for secondary prophylaxis?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Norfloxacin (400mg OD) or Ciprofloxacin.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Who should receive primary SBP prophylaxis?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Patients with ascitic protein &lt;15 g/L AND (Cr &gt;106, Urea &gt;9, Na &lt;130, or Child-Pugh &gt;9 with Bili &gt;50).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patients with variceal bleeding receive antibiotics?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Ceftriaxone for 7 days significantly reduces SBP and mortality.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target MAP in cirrhotics with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&gt;65 mmHg.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beta-blockers be stopped in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during the acute episode, especially if MAP is low or there is renal impairment.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PPIs in SBP risk?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PPIs are associated with an increased risk of SBP and should be reviewed.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SBP cause encephalopathy?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infection is a common precipitant.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treatment for agitation in HE?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Rule out other causes (hypoxia, hypoglycemia), then small doses of Haloperidol if absolutely necessary, but avoid Benzos if possible.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goal for bowel movements in HE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2-3 soft stools per day.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IV Lactulose effective?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must be given orally or via NG/rectal enema.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Rifaximin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a non-absorbable antibiotic that reduces ammonia-producing bacteria in the gut.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“triple therapy”</w:t>
      </w:r>
      <w:r>
        <w:t xml:space="preserve"> </w:t>
      </w:r>
      <w:r>
        <w:t xml:space="preserve">for ACLF in 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Antibiotics, Albumin, and Encephalopathy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you suspect fungal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Failure to respond to standard antibiotics.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mortality of SBP if untreated?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Nearly 100%.</w:t>
      </w:r>
    </w:p>
    <w:bookmarkEnd w:id="18"/>
    <w:bookmarkStart w:id="19" w:name="q76-q90-complication-management"/>
    <w:p>
      <w:pPr>
        <w:pStyle w:val="Heading3"/>
      </w:pPr>
      <w:r>
        <w:t xml:space="preserve">Q76-Q90: Complication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Hepatorenal Syndrome (HRS).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Functional renal failure in the setting of cirrhosis and portal hypertension with no other identifiable cause.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difference between HRS-AKI and HRS-NAKI?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HRS-AKI is rapid (formerly Type 1), HRS-NAKI is more chronic (formerly Type 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 step in managing suspected HRS?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Stop diuretics and give Albumin 1g/kg for 48 hours as a volume challenge.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the creatinine doesn’t improve after the volume challenge?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Diagnosis of HRS is supported; start vasoconstrictors.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vasoconstrictor for HRS?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Terlipressin (continuous infusion is preferred over bolus to reduce side effects).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 serious side effect of Terlipressin?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Ischemia (cardiac, mesenteric, or peripheral) and pulmonary edema.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can be used if Terlipressin is unavailable?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Midodrine and Octreotide, or Noradrenaline (in ICU).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target of Terlipressin therapy?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decrease in Creatinine to &lt;133 μmol/L or return to baseline.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ammonia level testing often discouraged?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Poor correlation with clinical severity of encephalopathy.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cause of death in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Progressive renal failure/MODS.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TIPS in refractory ascites?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Effective at reducing ascites but increases the risk of encephalopathy.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contraindications for TIPS?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HE, Bilirubin &gt;85, heart failure, and pulmonary hypertension.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Hepatic Encephalopathy graded?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West Haven Criteria (Grade 1-4).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“Flap”</w:t>
      </w:r>
      <w:r>
        <w:t xml:space="preserve"> </w:t>
      </w:r>
      <w:r>
        <w:t xml:space="preserve">(Asterixis)?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Negative myoclonus.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Hyponatremia in cirrhosis?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Reflects severe splanchnic vasodilation and is a poor prognostic sign.</w:t>
      </w:r>
    </w:p>
    <w:bookmarkEnd w:id="19"/>
    <w:bookmarkStart w:id="20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a patient be referred for liver transplant evaluation?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Child-Pugh ≥B or MELD ≥15 or first decompensation episode.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1-year mortality after a first episode of SBP?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Approximately 30-50%.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is ICU admission mandatory for liver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Grade 3/4 encephalopathy (requires intubation for airway protection), vasopressor requirement, or multi-organ failure.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NAC in non-paracetamol ALF?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May improve transplant-free survival in early-stage encephalopathy.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UKELD score?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UK version of MELD used for transplant listing (Bilirubin, INR, Creatinine, Sodium).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threshold for UKELD listing?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SBP be managed in a community hospital?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initially, but decompensation often requires transfer to a specialist liver unit.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the CLIF-C ACLF score?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Better at predicting mortality in ACLF than MELD or Child-Pugh.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the patient’s family be involved in ceilings of care discussions early?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due to high mortality and potential for rapid deterioration.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ultimate definitive care for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Alcohol abstinence and consideration for Liver Transplantation.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7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8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09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2026-04-02T21:50:53Z</dcterms:created>
  <dcterms:modified xsi:type="dcterms:W3CDTF">2026-04-02T21:50:53Z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