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6d4920918aae82c5f069c70ec081508564933ef"/>
    <w:p>
      <w:pPr>
        <w:pStyle w:val="Heading1"/>
      </w:pPr>
      <w:r>
        <w:t xml:space="preserve">Master Case: Acute Lower GI Bleed (LGIB) - Narrative Clinical Case</w:t>
      </w:r>
    </w:p>
    <w:bookmarkStart w:id="9" w:name="X294a8466397f77fffb3861b84679183dd6f4fb1"/>
    <w:p>
      <w:pPr>
        <w:pStyle w:val="Heading2"/>
      </w:pPr>
      <w:r>
        <w:t xml:space="preserve">Master Case Narrative: The</w:t>
      </w:r>
      <w:r>
        <w:t xml:space="preserve"> </w:t>
      </w:r>
      <w:r>
        <w:t xml:space="preserve">“Painless Torrent”</w:t>
      </w:r>
    </w:p>
    <w:p>
      <w:pPr>
        <w:pStyle w:val="FirstParagraph"/>
      </w:pPr>
      <w:r>
        <w:rPr>
          <w:b/>
          <w:bCs/>
        </w:rPr>
        <w:t xml:space="preserve">Triage (00:00 - 00:30):</w:t>
      </w:r>
      <w:r>
        <w:t xml:space="preserve"> </w:t>
      </w:r>
      <w:r>
        <w:t xml:space="preserve">A 79-year-old female presents to the ED after three episodes of large-volume, painless, bright red blood per rectum (BRBPR) over the last 4 hours. She feels lightheaded but has no abdominal pain, nausea, or vomiting.</w:t>
      </w:r>
      <w:r>
        <w:t xml:space="preserve"> </w:t>
      </w:r>
      <w:r>
        <w:rPr>
          <w:i/>
          <w:iCs/>
        </w:rPr>
        <w:t xml:space="preserve">Vital Signs:</w:t>
      </w:r>
      <w:r>
        <w:t xml:space="preserve"> </w:t>
      </w:r>
      <w:r>
        <w:t xml:space="preserve">HR 105 bpm, BP 102/64 mmHg, SpO2 96% on RA, Temp 37.1°C.</w:t>
      </w:r>
      <w:r>
        <w:t xml:space="preserve"> </w:t>
      </w:r>
      <w:r>
        <w:rPr>
          <w:i/>
          <w:iCs/>
        </w:rPr>
        <w:t xml:space="preserve">Initial History:</w:t>
      </w:r>
      <w:r>
        <w:t xml:space="preserve"> </w:t>
      </w:r>
      <w:r>
        <w:t xml:space="preserve">History of hypertension, diverticulosis, and permanent atrial fibrillation (taking Rivaroxaban). She has no history of hemorrhoids or inflammatory bowel disease.</w:t>
      </w:r>
    </w:p>
    <w:p>
      <w:pPr>
        <w:pStyle w:val="BodyText"/>
      </w:pPr>
      <w:r>
        <w:rPr>
          <w:b/>
          <w:bCs/>
        </w:rPr>
        <w:t xml:space="preserve">Initial Assessment (00:30 - 01:30):</w:t>
      </w:r>
      <w:r>
        <w:t xml:space="preserve"> </w:t>
      </w:r>
      <w:r>
        <w:t xml:space="preserve">Digital rectal exam confirms large-volume maroon blood and clots. No masses are felt. A nasogastric tube is placed to rule out a proximal source; the aspirate is clear with bile, making an upper GI source less likely (but not impossible). Her Oakland Score is calculated as 14, indicating a high-risk bleed requiring admission.</w:t>
      </w:r>
    </w:p>
    <w:p>
      <w:pPr>
        <w:pStyle w:val="BodyText"/>
      </w:pPr>
      <w:r>
        <w:rPr>
          <w:b/>
          <w:bCs/>
        </w:rPr>
        <w:t xml:space="preserve">Diagnostic Pathway (01:30 - 04:00):</w:t>
      </w:r>
      <w:r>
        <w:t xml:space="preserve"> </w:t>
      </w:r>
      <w:r>
        <w:t xml:space="preserve">Given her age and the use of Rivaroxaban, her</w:t>
      </w:r>
      <w:r>
        <w:t xml:space="preserve"> </w:t>
      </w:r>
      <w:r>
        <w:t xml:space="preserve">“Shock Index”</w:t>
      </w:r>
      <w:r>
        <w:t xml:space="preserve"> </w:t>
      </w:r>
      <w:r>
        <w:t xml:space="preserve">is 1.03 (105/102), suggesting borderline stability. A CT Angiography (CTA) is ordered immediately rather than waiting for colonoscopy prep.</w:t>
      </w:r>
      <w:r>
        <w:t xml:space="preserve"> </w:t>
      </w:r>
      <w:r>
        <w:rPr>
          <w:i/>
          <w:iCs/>
        </w:rPr>
        <w:t xml:space="preserve">CTA Findings:</w:t>
      </w:r>
      <w:r>
        <w:t xml:space="preserve"> </w:t>
      </w:r>
      <w:r>
        <w:t xml:space="preserve">Active contrast extravasation in the ascending colon, consistent with a bleeding diverticulum. No evidence of angiodysplasia or malignancy.</w:t>
      </w:r>
    </w:p>
    <w:p>
      <w:pPr>
        <w:pStyle w:val="BodyText"/>
      </w:pPr>
      <w:r>
        <w:rPr>
          <w:b/>
          <w:bCs/>
        </w:rPr>
        <w:t xml:space="preserve">Acute Management &amp; Reversal (04:00 - 06:00):</w:t>
      </w:r>
      <w:r>
        <w:t xml:space="preserve"> </w:t>
      </w:r>
      <w:r>
        <w:t xml:space="preserve">Rivaroxaban is held. Given the ongoing brisk bleeding and borderline hypotension, the decision is made to reverse her anticoagulation. Andexanet alfa is unavailable, so 4-factor Prothrombin Complex Concentrate (PCC) at 25-50 units/kg is administered. Two units of PRBC are transfused as her Hb dropped from 12.1 to 7.4 g/dL.</w:t>
      </w:r>
    </w:p>
    <w:p>
      <w:pPr>
        <w:pStyle w:val="BodyText"/>
      </w:pPr>
      <w:r>
        <w:rPr>
          <w:b/>
          <w:bCs/>
        </w:rPr>
        <w:t xml:space="preserve">Definitive Intervention (06:00 - 10:00):</w:t>
      </w:r>
      <w:r>
        <w:t xml:space="preserve"> </w:t>
      </w:r>
      <w:r>
        <w:t xml:space="preserve">Interventional Radiology (IR) is consulted. The patient is taken for mesenteric angiography.</w:t>
      </w:r>
      <w:r>
        <w:t xml:space="preserve"> </w:t>
      </w:r>
      <w:r>
        <w:rPr>
          <w:i/>
          <w:iCs/>
        </w:rPr>
        <w:t xml:space="preserve">Intervention:</w:t>
      </w:r>
      <w:r>
        <w:t xml:space="preserve"> </w:t>
      </w:r>
      <w:r>
        <w:t xml:space="preserve">Selective catheterization of the right colic artery confirms the bleeding. Successful super-selective coil embolization is performed. Hemostasis is achieved.</w:t>
      </w:r>
    </w:p>
    <w:p>
      <w:pPr>
        <w:pStyle w:val="BodyText"/>
      </w:pPr>
      <w:r>
        <w:rPr>
          <w:b/>
          <w:bCs/>
        </w:rPr>
        <w:t xml:space="preserve">Disposition (10:00 - 48:00):</w:t>
      </w:r>
      <w:r>
        <w:t xml:space="preserve"> </w:t>
      </w:r>
      <w:r>
        <w:t xml:space="preserve">The patient is admitted to the High Dependency Unit (HDU) for monitoring. Her Rivaroxaban is held for 7 days. A follow-up colonoscopy is scheduled for 4 weeks post-discharge to rule out malignancy, although the CTA was suggestive of diverticular disease.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q1-q15-triage-initial-assessment"/>
    <w:p>
      <w:pPr>
        <w:pStyle w:val="Heading3"/>
      </w:pPr>
      <w:r>
        <w:t xml:space="preserve">Q1-Q15: Triage &amp; Initial Assessment</w:t>
      </w:r>
    </w:p>
    <w:p>
      <w:pPr>
        <w:pStyle w:val="FirstParagraph"/>
      </w:pPr>
      <w:r>
        <w:rPr>
          <w:b/>
          <w:bCs/>
        </w:rPr>
        <w:t xml:space="preserve">Q1: What is the most common cause of major LGIB in adults?</w:t>
      </w:r>
      <w:r>
        <w:t xml:space="preserve"> </w:t>
      </w:r>
      <w:r>
        <w:t xml:space="preserve">A: Diverticulosis (approx. 40%).</w:t>
      </w:r>
    </w:p>
    <w:p>
      <w:pPr>
        <w:pStyle w:val="BodyText"/>
      </w:pPr>
      <w:r>
        <w:rPr>
          <w:b/>
          <w:bCs/>
        </w:rPr>
        <w:t xml:space="preserve">Q2: How does the presentation of diverticular bleeding typically differ from ischemic colitis?</w:t>
      </w:r>
      <w:r>
        <w:t xml:space="preserve"> </w:t>
      </w:r>
      <w:r>
        <w:t xml:space="preserve">A: Diverticular bleeding is usually painless and large-volume; ischemic colitis is typically painful (left-sided) followed by low-volume bloody stools.</w:t>
      </w:r>
    </w:p>
    <w:p>
      <w:pPr>
        <w:pStyle w:val="BodyText"/>
      </w:pPr>
      <w:r>
        <w:rPr>
          <w:b/>
          <w:bCs/>
        </w:rPr>
        <w:t xml:space="preserve">Q3: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“10% rule”</w:t>
      </w:r>
      <w:r>
        <w:rPr>
          <w:b/>
          <w:bCs/>
        </w:rPr>
        <w:t xml:space="preserve"> </w:t>
      </w:r>
      <w:r>
        <w:rPr>
          <w:b/>
          <w:bCs/>
        </w:rPr>
        <w:t xml:space="preserve">in LGIB?</w:t>
      </w:r>
      <w:r>
        <w:t xml:space="preserve"> </w:t>
      </w:r>
      <w:r>
        <w:t xml:space="preserve">A: 10% of patients presenting with hematochezia actually have a brisk Upper GI source.</w:t>
      </w:r>
    </w:p>
    <w:p>
      <w:pPr>
        <w:pStyle w:val="BodyText"/>
      </w:pPr>
      <w:r>
        <w:rPr>
          <w:b/>
          <w:bCs/>
        </w:rPr>
        <w:t xml:space="preserve">Q4: What physical exam finding is mandatory in all LGIB cases?</w:t>
      </w:r>
      <w:r>
        <w:t xml:space="preserve"> </w:t>
      </w:r>
      <w:r>
        <w:t xml:space="preserve">A: Digital Rectal Exam (DRE).</w:t>
      </w:r>
    </w:p>
    <w:p>
      <w:pPr>
        <w:pStyle w:val="BodyText"/>
      </w:pPr>
      <w:r>
        <w:rPr>
          <w:b/>
          <w:bCs/>
        </w:rPr>
        <w:t xml:space="preserve">Q5: Is a clear NG aspirate sufficient to rule out an UGI source?</w:t>
      </w:r>
      <w:r>
        <w:t xml:space="preserve"> </w:t>
      </w:r>
      <w:r>
        <w:t xml:space="preserve">A: No, only a bile-stained aspirate without blood is reasonably reassuring, but even then, a post-pyloric UGI bleed can be missed.</w:t>
      </w:r>
    </w:p>
    <w:p>
      <w:pPr>
        <w:pStyle w:val="BodyText"/>
      </w:pPr>
      <w:r>
        <w:rPr>
          <w:b/>
          <w:bCs/>
        </w:rPr>
        <w:t xml:space="preserve">Q6: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“maroon”</w:t>
      </w:r>
      <w:r>
        <w:rPr>
          <w:b/>
          <w:bCs/>
        </w:rPr>
        <w:t xml:space="preserve"> </w:t>
      </w:r>
      <w:r>
        <w:rPr>
          <w:b/>
          <w:bCs/>
        </w:rPr>
        <w:t xml:space="preserve">stools?</w:t>
      </w:r>
      <w:r>
        <w:t xml:space="preserve"> </w:t>
      </w:r>
      <w:r>
        <w:t xml:space="preserve">A: Suggests a right-sided colonic source or a small bowel source.</w:t>
      </w:r>
    </w:p>
    <w:p>
      <w:pPr>
        <w:pStyle w:val="BodyText"/>
      </w:pPr>
      <w:r>
        <w:rPr>
          <w:b/>
          <w:bCs/>
        </w:rPr>
        <w:t xml:space="preserve">Q7: Which medication class is most frequently associated with LGIB complications?</w:t>
      </w:r>
      <w:r>
        <w:t xml:space="preserve"> </w:t>
      </w:r>
      <w:r>
        <w:t xml:space="preserve">A: NSAIDs and Anticoagulants.</w:t>
      </w:r>
    </w:p>
    <w:p>
      <w:pPr>
        <w:pStyle w:val="BodyText"/>
      </w:pPr>
      <w:r>
        <w:rPr>
          <w:b/>
          <w:bCs/>
        </w:rPr>
        <w:t xml:space="preserve">Q8: Can hemorrhoids cause massive life-threatening LGIB?</w:t>
      </w:r>
      <w:r>
        <w:t xml:space="preserve"> </w:t>
      </w:r>
      <w:r>
        <w:t xml:space="preserve">A: Rarely, but it can occur in patients with portal hypertension (rectal varices) or severe coagulopathy.</w:t>
      </w:r>
    </w:p>
    <w:p>
      <w:pPr>
        <w:pStyle w:val="BodyText"/>
      </w:pPr>
      <w:r>
        <w:rPr>
          <w:b/>
          <w:bCs/>
        </w:rPr>
        <w:t xml:space="preserve">Q9: What is the significance of abdominal pain in LGIB?</w:t>
      </w:r>
      <w:r>
        <w:t xml:space="preserve"> </w:t>
      </w:r>
      <w:r>
        <w:t xml:space="preserve">A: Suggests an inflammatory or ischemic cause (IBD, Ischemic Colitis, Mesenteric Ischemia) rather than diverticulosis or angiodysplasia.</w:t>
      </w:r>
    </w:p>
    <w:p>
      <w:pPr>
        <w:pStyle w:val="BodyText"/>
      </w:pPr>
      <w:r>
        <w:rPr>
          <w:b/>
          <w:bCs/>
        </w:rPr>
        <w:t xml:space="preserve">Q10: What is the classic age group for angiodysplasia?</w:t>
      </w:r>
      <w:r>
        <w:t xml:space="preserve"> </w:t>
      </w:r>
      <w:r>
        <w:t xml:space="preserve">A: Patients &gt;65 years old.</w:t>
      </w:r>
    </w:p>
    <w:p>
      <w:pPr>
        <w:pStyle w:val="BodyText"/>
      </w:pPr>
      <w:r>
        <w:rPr>
          <w:b/>
          <w:bCs/>
        </w:rPr>
        <w:t xml:space="preserve">Q11: Does the color of the blood (bright red vs. dark) always indicate the level of the bleed?</w:t>
      </w:r>
      <w:r>
        <w:t xml:space="preserve"> </w:t>
      </w:r>
      <w:r>
        <w:t xml:space="preserve">A: Generally yes (BRBPR is distal), but brisk UGI bleeding can present as BRBPR due to rapid transit.</w:t>
      </w:r>
    </w:p>
    <w:p>
      <w:pPr>
        <w:pStyle w:val="BodyText"/>
      </w:pPr>
      <w:r>
        <w:rPr>
          <w:b/>
          <w:bCs/>
        </w:rPr>
        <w:t xml:space="preserve">Q12: What should you suspect in a young patient with painless LGIB?</w:t>
      </w:r>
      <w:r>
        <w:t xml:space="preserve"> </w:t>
      </w:r>
      <w:r>
        <w:t xml:space="preserve">A: Meckel’s Diverticulum.</w:t>
      </w:r>
    </w:p>
    <w:p>
      <w:pPr>
        <w:pStyle w:val="BodyText"/>
      </w:pPr>
      <w:r>
        <w:rPr>
          <w:b/>
          <w:bCs/>
        </w:rPr>
        <w:t xml:space="preserve">Q13: What is the role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“Shock Index”</w:t>
      </w:r>
      <w:r>
        <w:rPr>
          <w:b/>
          <w:bCs/>
        </w:rPr>
        <w:t xml:space="preserve"> </w:t>
      </w:r>
      <w:r>
        <w:rPr>
          <w:b/>
          <w:bCs/>
        </w:rPr>
        <w:t xml:space="preserve">in LGIB?</w:t>
      </w:r>
      <w:r>
        <w:t xml:space="preserve"> </w:t>
      </w:r>
      <w:r>
        <w:t xml:space="preserve">A: HR/SBP &gt; 1.0 identifies high-risk patients who may need aggressive resuscitation or IR intervention.</w:t>
      </w:r>
    </w:p>
    <w:p>
      <w:pPr>
        <w:pStyle w:val="BodyText"/>
      </w:pPr>
      <w:r>
        <w:rPr>
          <w:b/>
          <w:bCs/>
        </w:rPr>
        <w:t xml:space="preserve">Q14: Are vital signs reliable in the elderly for estimating blood loss?</w:t>
      </w:r>
      <w:r>
        <w:t xml:space="preserve"> </w:t>
      </w:r>
      <w:r>
        <w:t xml:space="preserve">A: No, beta-blockers and</w:t>
      </w:r>
      <w:r>
        <w:t xml:space="preserve"> </w:t>
      </w:r>
      <w:r>
        <w:t xml:space="preserve">“stiff”</w:t>
      </w:r>
      <w:r>
        <w:t xml:space="preserve"> </w:t>
      </w:r>
      <w:r>
        <w:t xml:space="preserve">vasculatures can mask tachycardia and hypotension.</w:t>
      </w:r>
    </w:p>
    <w:p>
      <w:pPr>
        <w:pStyle w:val="BodyText"/>
      </w:pPr>
      <w:r>
        <w:rPr>
          <w:b/>
          <w:bCs/>
        </w:rPr>
        <w:t xml:space="preserve">Q15: What is the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“Lower GI Bleed”</w:t>
      </w:r>
      <w:r>
        <w:rPr>
          <w:b/>
          <w:bCs/>
        </w:rPr>
        <w:t xml:space="preserve">?</w:t>
      </w:r>
      <w:r>
        <w:t xml:space="preserve"> </w:t>
      </w:r>
      <w:r>
        <w:t xml:space="preserve">A: Bleeding distal to the Ligament of Treitz.</w:t>
      </w:r>
    </w:p>
    <w:bookmarkEnd w:id="10"/>
    <w:bookmarkStart w:id="11" w:name="q16-q35-risk-stratification"/>
    <w:p>
      <w:pPr>
        <w:pStyle w:val="Heading3"/>
      </w:pPr>
      <w:r>
        <w:t xml:space="preserve">Q16-Q35: Risk Stratification</w:t>
      </w:r>
    </w:p>
    <w:p>
      <w:pPr>
        <w:pStyle w:val="FirstParagraph"/>
      </w:pPr>
      <w:r>
        <w:rPr>
          <w:b/>
          <w:bCs/>
        </w:rPr>
        <w:t xml:space="preserve">Q16: What is the Oakland Score?</w:t>
      </w:r>
      <w:r>
        <w:t xml:space="preserve"> </w:t>
      </w:r>
      <w:r>
        <w:t xml:space="preserve">A: A validated tool to predict the probability of</w:t>
      </w:r>
      <w:r>
        <w:t xml:space="preserve"> </w:t>
      </w:r>
      <w:r>
        <w:t xml:space="preserve">“safe discharge”</w:t>
      </w:r>
      <w:r>
        <w:t xml:space="preserve"> </w:t>
      </w:r>
      <w:r>
        <w:t xml:space="preserve">in LGIB.</w:t>
      </w:r>
    </w:p>
    <w:p>
      <w:pPr>
        <w:pStyle w:val="BodyText"/>
      </w:pPr>
      <w:r>
        <w:rPr>
          <w:b/>
          <w:bCs/>
        </w:rPr>
        <w:t xml:space="preserve">Q17: What Oakland Score threshold allows for discharge from the ED?</w:t>
      </w:r>
      <w:r>
        <w:t xml:space="preserve"> </w:t>
      </w:r>
      <w:r>
        <w:t xml:space="preserve">A: A score of 8 or less (95% probability of safe discharge).</w:t>
      </w:r>
    </w:p>
    <w:p>
      <w:pPr>
        <w:pStyle w:val="BodyText"/>
      </w:pPr>
      <w:r>
        <w:rPr>
          <w:b/>
          <w:bCs/>
        </w:rPr>
        <w:t xml:space="preserve">Q18: What are the components of the Oakland Score?</w:t>
      </w:r>
      <w:r>
        <w:t xml:space="preserve"> </w:t>
      </w:r>
      <w:r>
        <w:t xml:space="preserve">A: Age, sex, previous LGIB admission, HR, SBP, and Hemoglobin.</w:t>
      </w:r>
    </w:p>
    <w:p>
      <w:pPr>
        <w:pStyle w:val="BodyText"/>
      </w:pPr>
      <w:r>
        <w:rPr>
          <w:b/>
          <w:bCs/>
        </w:rPr>
        <w:t xml:space="preserve">Q19: What is the STRATE score?</w:t>
      </w:r>
      <w:r>
        <w:t xml:space="preserve"> </w:t>
      </w:r>
      <w:r>
        <w:t xml:space="preserve">A: A score used to predict the risk of</w:t>
      </w:r>
      <w:r>
        <w:t xml:space="preserve"> </w:t>
      </w:r>
      <w:r>
        <w:t xml:space="preserve">“severe”</w:t>
      </w:r>
      <w:r>
        <w:t xml:space="preserve"> </w:t>
      </w:r>
      <w:r>
        <w:t xml:space="preserve">bleeding in LGIB.</w:t>
      </w:r>
    </w:p>
    <w:p>
      <w:pPr>
        <w:pStyle w:val="BodyText"/>
      </w:pPr>
      <w:r>
        <w:rPr>
          <w:b/>
          <w:bCs/>
        </w:rPr>
        <w:t xml:space="preserve">Q20: What are the risk factors for</w:t>
      </w:r>
      <w:r>
        <w:rPr>
          <w:b/>
          <w:bCs/>
        </w:rPr>
        <w:t xml:space="preserve"> </w:t>
      </w:r>
      <w:r>
        <w:rPr>
          <w:b/>
          <w:bCs/>
        </w:rPr>
        <w:t xml:space="preserve">“severe”</w:t>
      </w:r>
      <w:r>
        <w:rPr>
          <w:b/>
          <w:bCs/>
        </w:rPr>
        <w:t xml:space="preserve"> </w:t>
      </w:r>
      <w:r>
        <w:rPr>
          <w:b/>
          <w:bCs/>
        </w:rPr>
        <w:t xml:space="preserve">LGIB?</w:t>
      </w:r>
      <w:r>
        <w:t xml:space="preserve"> </w:t>
      </w:r>
      <w:r>
        <w:t xml:space="preserve">A: HR &gt;100, SBP &lt;115, Syncope, Aspirin use, &gt;2 comorbidities, and active bleeding on DRE.</w:t>
      </w:r>
    </w:p>
    <w:p>
      <w:pPr>
        <w:pStyle w:val="BodyText"/>
      </w:pPr>
      <w:r>
        <w:rPr>
          <w:b/>
          <w:bCs/>
        </w:rPr>
        <w:t xml:space="preserve">Q21: How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“Shock Index”</w:t>
      </w:r>
      <w:r>
        <w:rPr>
          <w:b/>
          <w:bCs/>
        </w:rPr>
        <w:t xml:space="preserve"> </w:t>
      </w:r>
      <w:r>
        <w:rPr>
          <w:b/>
          <w:bCs/>
        </w:rPr>
        <w:t xml:space="preserve">compare to individual vitals?</w:t>
      </w:r>
      <w:r>
        <w:t xml:space="preserve"> </w:t>
      </w:r>
      <w:r>
        <w:t xml:space="preserve">A: It is a more sensitive predictor of mortality and the need for massive transfusion.</w:t>
      </w:r>
    </w:p>
    <w:p>
      <w:pPr>
        <w:pStyle w:val="BodyText"/>
      </w:pPr>
      <w:r>
        <w:rPr>
          <w:b/>
          <w:bCs/>
        </w:rPr>
        <w:t xml:space="preserve">Q22: Is the GBS score applicable to LGIB?</w:t>
      </w:r>
      <w:r>
        <w:t xml:space="preserve"> </w:t>
      </w:r>
      <w:r>
        <w:t xml:space="preserve">A: No, it is specifically designed and validated for UGIB.</w:t>
      </w:r>
    </w:p>
    <w:p>
      <w:pPr>
        <w:pStyle w:val="BodyText"/>
      </w:pPr>
      <w:r>
        <w:rPr>
          <w:b/>
          <w:bCs/>
        </w:rPr>
        <w:t xml:space="preserve">Q23: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“BLEED”</w:t>
      </w:r>
      <w:r>
        <w:rPr>
          <w:b/>
          <w:bCs/>
        </w:rPr>
        <w:t xml:space="preserve"> </w:t>
      </w:r>
      <w:r>
        <w:rPr>
          <w:b/>
          <w:bCs/>
        </w:rPr>
        <w:t xml:space="preserve">criteria?</w:t>
      </w:r>
      <w:r>
        <w:t xml:space="preserve"> </w:t>
      </w:r>
      <w:r>
        <w:t xml:space="preserve">A: Ongoing Bleeding, Low BP, Elevated PT, Erratic mental status, Disease (comorbidity).</w:t>
      </w:r>
    </w:p>
    <w:p>
      <w:pPr>
        <w:pStyle w:val="BodyText"/>
      </w:pPr>
      <w:r>
        <w:rPr>
          <w:b/>
          <w:bCs/>
        </w:rPr>
        <w:t xml:space="preserve">Q24: Why is it important to risk-stratify LGIB patients?</w:t>
      </w:r>
      <w:r>
        <w:t xml:space="preserve"> </w:t>
      </w:r>
      <w:r>
        <w:t xml:space="preserve">A: To identify the 30-40% of patients who can be safely managed as outpatients, reducing unnecessary admissions.</w:t>
      </w:r>
    </w:p>
    <w:p>
      <w:pPr>
        <w:pStyle w:val="BodyText"/>
      </w:pPr>
      <w:r>
        <w:rPr>
          <w:b/>
          <w:bCs/>
        </w:rPr>
        <w:t xml:space="preserve">Q25: What is the 30-day mortality rate for LGIB?</w:t>
      </w:r>
      <w:r>
        <w:t xml:space="preserve"> </w:t>
      </w:r>
      <w:r>
        <w:t xml:space="preserve">A: Approximately 2-4%, lower than UGIB (5-10%).</w:t>
      </w:r>
    </w:p>
    <w:p>
      <w:pPr>
        <w:pStyle w:val="BodyText"/>
      </w:pPr>
      <w:r>
        <w:rPr>
          <w:b/>
          <w:bCs/>
        </w:rPr>
        <w:t xml:space="preserve">Q26: Which patient population is at the highest risk of mortality from LGIB?</w:t>
      </w:r>
      <w:r>
        <w:t xml:space="preserve"> </w:t>
      </w:r>
      <w:r>
        <w:t xml:space="preserve">A: Inpatients who develop LGIB while hospitalized for another condition.</w:t>
      </w:r>
    </w:p>
    <w:p>
      <w:pPr>
        <w:pStyle w:val="BodyText"/>
      </w:pPr>
      <w:r>
        <w:rPr>
          <w:b/>
          <w:bCs/>
        </w:rPr>
        <w:t xml:space="preserve">Q27: Does the use of DOACs increase the severity of LGIB?</w:t>
      </w:r>
      <w:r>
        <w:t xml:space="preserve"> </w:t>
      </w:r>
      <w:r>
        <w:t xml:space="preserve">A: It increases the risk of bleeding but not necessarily the mortality rate compared to Warfarin.</w:t>
      </w:r>
    </w:p>
    <w:p>
      <w:pPr>
        <w:pStyle w:val="BodyText"/>
      </w:pPr>
      <w:r>
        <w:rPr>
          <w:b/>
          <w:bCs/>
        </w:rPr>
        <w:t xml:space="preserve">Q28: What is the utility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“NOBLADS”</w:t>
      </w:r>
      <w:r>
        <w:rPr>
          <w:b/>
          <w:bCs/>
        </w:rPr>
        <w:t xml:space="preserve"> </w:t>
      </w:r>
      <w:r>
        <w:rPr>
          <w:b/>
          <w:bCs/>
        </w:rPr>
        <w:t xml:space="preserve">score?</w:t>
      </w:r>
      <w:r>
        <w:t xml:space="preserve"> </w:t>
      </w:r>
      <w:r>
        <w:t xml:space="preserve">A: Another scoring system (NSAIDS, Obstruction, BP, Lactate, Albumin, Degree of anemia, Syncope) to predict severity.</w:t>
      </w:r>
    </w:p>
    <w:p>
      <w:pPr>
        <w:pStyle w:val="BodyText"/>
      </w:pPr>
      <w:r>
        <w:rPr>
          <w:b/>
          <w:bCs/>
        </w:rPr>
        <w:t xml:space="preserve">Q29: How often does LGIB stop spontaneously?</w:t>
      </w:r>
      <w:r>
        <w:t xml:space="preserve"> </w:t>
      </w:r>
      <w:r>
        <w:t xml:space="preserve">A: In approximately 75-80% of cases.</w:t>
      </w:r>
    </w:p>
    <w:p>
      <w:pPr>
        <w:pStyle w:val="BodyText"/>
      </w:pPr>
      <w:r>
        <w:rPr>
          <w:b/>
          <w:bCs/>
        </w:rPr>
        <w:t xml:space="preserve">Q30: What is the rebleeding rate for diverticular disease?</w:t>
      </w:r>
      <w:r>
        <w:t xml:space="preserve"> </w:t>
      </w:r>
      <w:r>
        <w:t xml:space="preserve">A: 25-35% over several years.</w:t>
      </w:r>
    </w:p>
    <w:p>
      <w:pPr>
        <w:pStyle w:val="BodyText"/>
      </w:pPr>
      <w:r>
        <w:rPr>
          <w:b/>
          <w:bCs/>
        </w:rPr>
        <w:t xml:space="preserve">Q31: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“Frailty”</w:t>
      </w:r>
      <w:r>
        <w:rPr>
          <w:b/>
          <w:bCs/>
        </w:rPr>
        <w:t xml:space="preserve"> </w:t>
      </w:r>
      <w:r>
        <w:rPr>
          <w:b/>
          <w:bCs/>
        </w:rPr>
        <w:t xml:space="preserve">assessment in LGIB?</w:t>
      </w:r>
      <w:r>
        <w:t xml:space="preserve"> </w:t>
      </w:r>
      <w:r>
        <w:t xml:space="preserve">A: It is a better predictor of 30-day mortality than age alone.</w:t>
      </w:r>
    </w:p>
    <w:p>
      <w:pPr>
        <w:pStyle w:val="BodyText"/>
      </w:pPr>
      <w:r>
        <w:rPr>
          <w:b/>
          <w:bCs/>
        </w:rPr>
        <w:t xml:space="preserve">Q32: Should you use the Rockall score for LGIB?</w:t>
      </w:r>
      <w:r>
        <w:t xml:space="preserve"> </w:t>
      </w:r>
      <w:r>
        <w:t xml:space="preserve">A: No.</w:t>
      </w:r>
    </w:p>
    <w:p>
      <w:pPr>
        <w:pStyle w:val="BodyText"/>
      </w:pPr>
      <w:r>
        <w:rPr>
          <w:b/>
          <w:bCs/>
        </w:rPr>
        <w:t xml:space="preserve">Q33: What is the primary cause of death in LGIB?</w:t>
      </w:r>
      <w:r>
        <w:t xml:space="preserve"> </w:t>
      </w:r>
      <w:r>
        <w:t xml:space="preserve">A: Non-GI causes (cardiovascular events, sepsis, multi-organ failure).</w:t>
      </w:r>
    </w:p>
    <w:p>
      <w:pPr>
        <w:pStyle w:val="BodyText"/>
      </w:pPr>
      <w:r>
        <w:rPr>
          <w:b/>
          <w:bCs/>
        </w:rPr>
        <w:t xml:space="preserve">Q34: When should you consider an ICU admission for LGIB?</w:t>
      </w:r>
      <w:r>
        <w:t xml:space="preserve"> </w:t>
      </w:r>
      <w:r>
        <w:t xml:space="preserve">A: Shock Index &gt; 1.0, need for vasopressors, or significant active bleeding.</w:t>
      </w:r>
    </w:p>
    <w:p>
      <w:pPr>
        <w:pStyle w:val="BodyText"/>
      </w:pPr>
      <w:r>
        <w:rPr>
          <w:b/>
          <w:bCs/>
        </w:rPr>
        <w:t xml:space="preserve">Q35: Is the STRATE score better than the Oakland score?</w:t>
      </w:r>
      <w:r>
        <w:t xml:space="preserve"> </w:t>
      </w:r>
      <w:r>
        <w:t xml:space="preserve">A: They serve different purposes: Oakland for discharge, STRATE for severity/intervention risk.</w:t>
      </w:r>
    </w:p>
    <w:bookmarkEnd w:id="11"/>
    <w:bookmarkStart w:id="12" w:name="q36-q55-diagnostic-decision-making"/>
    <w:p>
      <w:pPr>
        <w:pStyle w:val="Heading3"/>
      </w:pPr>
      <w:r>
        <w:t xml:space="preserve">Q36-Q55: Diagnostic Decision Making</w:t>
      </w:r>
    </w:p>
    <w:p>
      <w:pPr>
        <w:pStyle w:val="FirstParagraph"/>
      </w:pPr>
      <w:r>
        <w:rPr>
          <w:b/>
          <w:bCs/>
        </w:rPr>
        <w:t xml:space="preserve">Q36: What is the first-line imaging modality for unstable LGIB?</w:t>
      </w:r>
      <w:r>
        <w:t xml:space="preserve"> </w:t>
      </w:r>
      <w:r>
        <w:t xml:space="preserve">A: CT Angiography (CTA).</w:t>
      </w:r>
    </w:p>
    <w:p>
      <w:pPr>
        <w:pStyle w:val="BodyText"/>
      </w:pPr>
      <w:r>
        <w:rPr>
          <w:b/>
          <w:bCs/>
        </w:rPr>
        <w:t xml:space="preserve">Q37: What is the sensitivity of CTA for detecting active LGIB?</w:t>
      </w:r>
      <w:r>
        <w:t xml:space="preserve"> </w:t>
      </w:r>
      <w:r>
        <w:t xml:space="preserve">A: High (&gt;85%) if the bleeding rate is &gt;0.3-0.5 mL/min.</w:t>
      </w:r>
    </w:p>
    <w:p>
      <w:pPr>
        <w:pStyle w:val="BodyText"/>
      </w:pPr>
      <w:r>
        <w:rPr>
          <w:b/>
          <w:bCs/>
        </w:rPr>
        <w:t xml:space="preserve">Q38: When should a Colonoscopy be performed in LGIB?</w:t>
      </w:r>
      <w:r>
        <w:t xml:space="preserve"> </w:t>
      </w:r>
      <w:r>
        <w:t xml:space="preserve">A: Once the patient is stabilized and has had a full bowel preparation.</w:t>
      </w:r>
    </w:p>
    <w:p>
      <w:pPr>
        <w:pStyle w:val="BodyText"/>
      </w:pPr>
      <w:r>
        <w:rPr>
          <w:b/>
          <w:bCs/>
        </w:rPr>
        <w:t xml:space="preserve">Q39: Does</w:t>
      </w:r>
      <w:r>
        <w:rPr>
          <w:b/>
          <w:bCs/>
        </w:rPr>
        <w:t xml:space="preserve"> </w:t>
      </w:r>
      <w:r>
        <w:rPr>
          <w:b/>
          <w:bCs/>
        </w:rPr>
        <w:t xml:space="preserve">“Emergent”</w:t>
      </w:r>
      <w:r>
        <w:rPr>
          <w:b/>
          <w:bCs/>
        </w:rPr>
        <w:t xml:space="preserve"> </w:t>
      </w:r>
      <w:r>
        <w:rPr>
          <w:b/>
          <w:bCs/>
        </w:rPr>
        <w:t xml:space="preserve">colonoscopy (&lt;24h) improve outcomes compared to elective?</w:t>
      </w:r>
      <w:r>
        <w:t xml:space="preserve"> </w:t>
      </w:r>
      <w:r>
        <w:t xml:space="preserve">A: Most trials (including the 2024 BSG/ACG meta-analysis) show no mortality benefit for &lt;24h colonoscopy.</w:t>
      </w:r>
    </w:p>
    <w:p>
      <w:pPr>
        <w:pStyle w:val="BodyText"/>
      </w:pPr>
      <w:r>
        <w:rPr>
          <w:b/>
          <w:bCs/>
        </w:rPr>
        <w:t xml:space="preserve">Q40: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“Water-jet”</w:t>
      </w:r>
      <w:r>
        <w:rPr>
          <w:b/>
          <w:bCs/>
        </w:rPr>
        <w:t xml:space="preserve"> </w:t>
      </w:r>
      <w:r>
        <w:rPr>
          <w:b/>
          <w:bCs/>
        </w:rPr>
        <w:t xml:space="preserve">technique in colonoscopy?</w:t>
      </w:r>
      <w:r>
        <w:t xml:space="preserve"> </w:t>
      </w:r>
      <w:r>
        <w:t xml:space="preserve">A: Using a pump to clear blood/clots during the procedure to find the source.</w:t>
      </w:r>
    </w:p>
    <w:p>
      <w:pPr>
        <w:pStyle w:val="BodyText"/>
      </w:pPr>
      <w:r>
        <w:rPr>
          <w:b/>
          <w:bCs/>
        </w:rPr>
        <w:t xml:space="preserve">Q41: What is the role of Nuclear Medicine (RBC Tagged Scan)?</w:t>
      </w:r>
      <w:r>
        <w:t xml:space="preserve"> </w:t>
      </w:r>
      <w:r>
        <w:t xml:space="preserve">A: It is highly sensitive (0.1 mL/min) but has very poor localization (often just</w:t>
      </w:r>
      <w:r>
        <w:t xml:space="preserve"> </w:t>
      </w:r>
      <w:r>
        <w:t xml:space="preserve">“right”</w:t>
      </w:r>
      <w:r>
        <w:t xml:space="preserve"> </w:t>
      </w:r>
      <w:r>
        <w:t xml:space="preserve">vs</w:t>
      </w:r>
      <w:r>
        <w:t xml:space="preserve"> </w:t>
      </w:r>
      <w:r>
        <w:t xml:space="preserve">“left”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Q42: When is a Tagged RBC scan preferred over CTA?</w:t>
      </w:r>
      <w:r>
        <w:t xml:space="preserve"> </w:t>
      </w:r>
      <w:r>
        <w:t xml:space="preserve">A: In intermittent, slow bleeding where CTA is negative but bleeding is persistent.</w:t>
      </w:r>
    </w:p>
    <w:p>
      <w:pPr>
        <w:pStyle w:val="BodyText"/>
      </w:pPr>
      <w:r>
        <w:rPr>
          <w:b/>
          <w:bCs/>
        </w:rPr>
        <w:t xml:space="preserve">Q43: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“Capsule Endoscopy”</w:t>
      </w:r>
      <w:r>
        <w:rPr>
          <w:b/>
          <w:bCs/>
        </w:rPr>
        <w:t xml:space="preserve"> </w:t>
      </w:r>
      <w:r>
        <w:rPr>
          <w:b/>
          <w:bCs/>
        </w:rPr>
        <w:t xml:space="preserve">(VCE) used for in GI bleeding?</w:t>
      </w:r>
      <w:r>
        <w:t xml:space="preserve"> </w:t>
      </w:r>
      <w:r>
        <w:t xml:space="preserve">A: To evaluate the small bowel (Small Bowel GI Bleeding) after negative OGD and Colonoscopy.</w:t>
      </w:r>
    </w:p>
    <w:p>
      <w:pPr>
        <w:pStyle w:val="BodyText"/>
      </w:pPr>
      <w:r>
        <w:rPr>
          <w:b/>
          <w:bCs/>
        </w:rPr>
        <w:t xml:space="preserve">Q44: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“Rule of 3s”</w:t>
      </w:r>
      <w:r>
        <w:rPr>
          <w:b/>
          <w:bCs/>
        </w:rPr>
        <w:t xml:space="preserve"> </w:t>
      </w:r>
      <w:r>
        <w:rPr>
          <w:b/>
          <w:bCs/>
        </w:rPr>
        <w:t xml:space="preserve">for Small Bowel GI Bleeding?</w:t>
      </w:r>
      <w:r>
        <w:t xml:space="preserve"> </w:t>
      </w:r>
      <w:r>
        <w:t xml:space="preserve">A: Suspect if OGD, Colonoscopy, and CTA/RBC scan are negative.</w:t>
      </w:r>
    </w:p>
    <w:p>
      <w:pPr>
        <w:pStyle w:val="BodyText"/>
      </w:pPr>
      <w:r>
        <w:rPr>
          <w:b/>
          <w:bCs/>
        </w:rPr>
        <w:t xml:space="preserve">Q45: Is</w:t>
      </w:r>
      <w:r>
        <w:rPr>
          <w:b/>
          <w:bCs/>
        </w:rPr>
        <w:t xml:space="preserve"> </w:t>
      </w:r>
      <w:r>
        <w:rPr>
          <w:b/>
          <w:bCs/>
        </w:rPr>
        <w:t xml:space="preserve">“Push Enteroscopy”</w:t>
      </w:r>
      <w:r>
        <w:rPr>
          <w:b/>
          <w:bCs/>
        </w:rPr>
        <w:t xml:space="preserve"> </w:t>
      </w:r>
      <w:r>
        <w:rPr>
          <w:b/>
          <w:bCs/>
        </w:rPr>
        <w:t xml:space="preserve">better than Capsule Endoscopy?</w:t>
      </w:r>
      <w:r>
        <w:t xml:space="preserve"> </w:t>
      </w:r>
      <w:r>
        <w:t xml:space="preserve">A: VCE has higher diagnostic yield, but Push Enteroscopy allows for biopsy and therapy.</w:t>
      </w:r>
    </w:p>
    <w:p>
      <w:pPr>
        <w:pStyle w:val="BodyText"/>
      </w:pPr>
      <w:r>
        <w:rPr>
          <w:b/>
          <w:bCs/>
        </w:rPr>
        <w:t xml:space="preserve">Q46: When is CTA contraindicated?</w:t>
      </w:r>
      <w:r>
        <w:t xml:space="preserve"> </w:t>
      </w:r>
      <w:r>
        <w:t xml:space="preserve">A: Severe Contrast Allergy or (relative) severe Renal Failure, though in life-threatening bleeding, the risk-benefit may favor CTA.</w:t>
      </w:r>
    </w:p>
    <w:p>
      <w:pPr>
        <w:pStyle w:val="BodyText"/>
      </w:pPr>
      <w:r>
        <w:rPr>
          <w:b/>
          <w:bCs/>
        </w:rPr>
        <w:t xml:space="preserve">Q47: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“Triple Phase”</w:t>
      </w:r>
      <w:r>
        <w:rPr>
          <w:b/>
          <w:bCs/>
        </w:rPr>
        <w:t xml:space="preserve"> </w:t>
      </w:r>
      <w:r>
        <w:rPr>
          <w:b/>
          <w:bCs/>
        </w:rPr>
        <w:t xml:space="preserve">CT?</w:t>
      </w:r>
      <w:r>
        <w:t xml:space="preserve"> </w:t>
      </w:r>
      <w:r>
        <w:t xml:space="preserve">A: Arterial, Portal Venous, and Delayed phases; used to differentiate active extravasation from pre-existing material (like contrast or clips).</w:t>
      </w:r>
    </w:p>
    <w:p>
      <w:pPr>
        <w:pStyle w:val="BodyText"/>
      </w:pPr>
      <w:r>
        <w:rPr>
          <w:b/>
          <w:bCs/>
        </w:rPr>
        <w:t xml:space="preserve">Q48: Can you perform a colonoscopy without bowel prep in LGIB?</w:t>
      </w:r>
      <w:r>
        <w:t xml:space="preserve"> </w:t>
      </w:r>
      <w:r>
        <w:t xml:space="preserve">A:</w:t>
      </w:r>
      <w:r>
        <w:t xml:space="preserve"> </w:t>
      </w:r>
      <w:r>
        <w:t xml:space="preserve">“Unprepped”</w:t>
      </w:r>
      <w:r>
        <w:t xml:space="preserve"> </w:t>
      </w:r>
      <w:r>
        <w:t xml:space="preserve">colonoscopy is generally discouraged as it has a very low diagnostic yield and higher risk of perforation.</w:t>
      </w:r>
    </w:p>
    <w:p>
      <w:pPr>
        <w:pStyle w:val="BodyText"/>
      </w:pPr>
      <w:r>
        <w:rPr>
          <w:b/>
          <w:bCs/>
        </w:rPr>
        <w:t xml:space="preserve">Q49: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“Bowel Prep”</w:t>
      </w:r>
      <w:r>
        <w:rPr>
          <w:b/>
          <w:bCs/>
        </w:rPr>
        <w:t xml:space="preserve"> </w:t>
      </w:r>
      <w:r>
        <w:rPr>
          <w:b/>
          <w:bCs/>
        </w:rPr>
        <w:t xml:space="preserve">of choice in LGIB?</w:t>
      </w:r>
      <w:r>
        <w:t xml:space="preserve"> </w:t>
      </w:r>
      <w:r>
        <w:t xml:space="preserve">A: Large volume (4-6L) PEG-based solution, often via NG tube if the patient can’t drink quickly.</w:t>
      </w:r>
    </w:p>
    <w:p>
      <w:pPr>
        <w:pStyle w:val="BodyText"/>
      </w:pPr>
      <w:r>
        <w:rPr>
          <w:b/>
          <w:bCs/>
        </w:rPr>
        <w:t xml:space="preserve">Q50: What is the role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“Gastric Aspirate”</w:t>
      </w:r>
      <w:r>
        <w:rPr>
          <w:b/>
          <w:bCs/>
        </w:rPr>
        <w:t xml:space="preserve"> </w:t>
      </w:r>
      <w:r>
        <w:rPr>
          <w:b/>
          <w:bCs/>
        </w:rPr>
        <w:t xml:space="preserve">in LGIB?</w:t>
      </w:r>
      <w:r>
        <w:t xml:space="preserve"> </w:t>
      </w:r>
      <w:r>
        <w:t xml:space="preserve">A: If it shows blood, it confirms an UGI source; if clear/bile, it makes it less likely.</w:t>
      </w:r>
    </w:p>
    <w:p>
      <w:pPr>
        <w:pStyle w:val="BodyText"/>
      </w:pPr>
      <w:r>
        <w:rPr>
          <w:b/>
          <w:bCs/>
        </w:rPr>
        <w:t xml:space="preserve">Q51: What percentage of</w:t>
      </w:r>
      <w:r>
        <w:rPr>
          <w:b/>
          <w:bCs/>
        </w:rPr>
        <w:t xml:space="preserve"> </w:t>
      </w:r>
      <w:r>
        <w:rPr>
          <w:b/>
          <w:bCs/>
        </w:rPr>
        <w:t xml:space="preserve">“LGIB”</w:t>
      </w:r>
      <w:r>
        <w:rPr>
          <w:b/>
          <w:bCs/>
        </w:rPr>
        <w:t xml:space="preserve"> </w:t>
      </w:r>
      <w:r>
        <w:rPr>
          <w:b/>
          <w:bCs/>
        </w:rPr>
        <w:t xml:space="preserve">is actually from the Small Bowel?</w:t>
      </w:r>
      <w:r>
        <w:t xml:space="preserve"> </w:t>
      </w:r>
      <w:r>
        <w:t xml:space="preserve">A: 5-10%.</w:t>
      </w:r>
    </w:p>
    <w:p>
      <w:pPr>
        <w:pStyle w:val="BodyText"/>
      </w:pPr>
      <w:r>
        <w:rPr>
          <w:b/>
          <w:bCs/>
        </w:rPr>
        <w:t xml:space="preserve">Q52: What is the most common cause of Small Bowel GI Bleeding?</w:t>
      </w:r>
      <w:r>
        <w:t xml:space="preserve"> </w:t>
      </w:r>
      <w:r>
        <w:t xml:space="preserve">A: Angiodysplasia (in elderly) or Crohn’s/Meckel’s (in younger patients).</w:t>
      </w:r>
    </w:p>
    <w:p>
      <w:pPr>
        <w:pStyle w:val="BodyText"/>
      </w:pPr>
      <w:r>
        <w:rPr>
          <w:b/>
          <w:bCs/>
        </w:rPr>
        <w:t xml:space="preserve">Q53: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“CT Enterography”</w:t>
      </w:r>
      <w:r>
        <w:rPr>
          <w:b/>
          <w:bCs/>
        </w:rPr>
        <w:t xml:space="preserve">?</w:t>
      </w:r>
      <w:r>
        <w:t xml:space="preserve"> </w:t>
      </w:r>
      <w:r>
        <w:t xml:space="preserve">A: Used for stable patients with suspected small bowel sources (not for active acute bleeding).</w:t>
      </w:r>
    </w:p>
    <w:p>
      <w:pPr>
        <w:pStyle w:val="BodyText"/>
      </w:pPr>
      <w:r>
        <w:rPr>
          <w:b/>
          <w:bCs/>
        </w:rPr>
        <w:t xml:space="preserve">Q54: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“Diagnostic Yield”</w:t>
      </w:r>
      <w:r>
        <w:rPr>
          <w:b/>
          <w:bCs/>
        </w:rPr>
        <w:t xml:space="preserve"> </w:t>
      </w:r>
      <w:r>
        <w:rPr>
          <w:b/>
          <w:bCs/>
        </w:rPr>
        <w:t xml:space="preserve">of colonoscopy in LGIB?</w:t>
      </w:r>
      <w:r>
        <w:t xml:space="preserve"> </w:t>
      </w:r>
      <w:r>
        <w:t xml:space="preserve">A: 45-85%, depending on the timing and quality of prep.</w:t>
      </w:r>
    </w:p>
    <w:p>
      <w:pPr>
        <w:pStyle w:val="BodyText"/>
      </w:pPr>
      <w:r>
        <w:rPr>
          <w:b/>
          <w:bCs/>
        </w:rPr>
        <w:t xml:space="preserve">Q55: What should you do if CTA shows active bleeding in the cecum?</w:t>
      </w:r>
      <w:r>
        <w:t xml:space="preserve"> </w:t>
      </w:r>
      <w:r>
        <w:t xml:space="preserve">A: Proceed directly to Angiography/IR or urgent Surgery if IR is unavailable.</w:t>
      </w:r>
    </w:p>
    <w:bookmarkEnd w:id="12"/>
    <w:bookmarkStart w:id="13" w:name="q56-q75-acute-ed-management"/>
    <w:p>
      <w:pPr>
        <w:pStyle w:val="Heading3"/>
      </w:pPr>
      <w:r>
        <w:t xml:space="preserve">Q56-Q75: Acute ED Management</w:t>
      </w:r>
    </w:p>
    <w:p>
      <w:pPr>
        <w:pStyle w:val="FirstParagraph"/>
      </w:pPr>
      <w:r>
        <w:rPr>
          <w:b/>
          <w:bCs/>
        </w:rPr>
        <w:t xml:space="preserve">Q56: What is the target Hemoglobin for LGIB resuscitation?</w:t>
      </w:r>
      <w:r>
        <w:t xml:space="preserve"> </w:t>
      </w:r>
      <w:r>
        <w:t xml:space="preserve">A: 7 g/dL (Restrictive strategy) for most; 8 g/dL for those with cardiovascular disease.</w:t>
      </w:r>
    </w:p>
    <w:p>
      <w:pPr>
        <w:pStyle w:val="BodyText"/>
      </w:pPr>
      <w:r>
        <w:rPr>
          <w:b/>
          <w:bCs/>
        </w:rPr>
        <w:t xml:space="preserve">Q57: Should you give FFP to a patient on Warfarin with an INR of 3.0 and LGIB?</w:t>
      </w:r>
      <w:r>
        <w:t xml:space="preserve"> </w:t>
      </w:r>
      <w:r>
        <w:t xml:space="preserve">A: PCC (Prothrombin Complex Concentrate) is preferred over FFP as it is faster and avoids volume overload.</w:t>
      </w:r>
    </w:p>
    <w:p>
      <w:pPr>
        <w:pStyle w:val="BodyText"/>
      </w:pPr>
      <w:r>
        <w:rPr>
          <w:b/>
          <w:bCs/>
        </w:rPr>
        <w:t xml:space="preserve">Q58: What is the reversal agent for Dabigatran?</w:t>
      </w:r>
      <w:r>
        <w:t xml:space="preserve"> </w:t>
      </w:r>
      <w:r>
        <w:t xml:space="preserve">A: Idarucizumab (Praxbind).</w:t>
      </w:r>
    </w:p>
    <w:p>
      <w:pPr>
        <w:pStyle w:val="BodyText"/>
      </w:pPr>
      <w:r>
        <w:rPr>
          <w:b/>
          <w:bCs/>
        </w:rPr>
        <w:t xml:space="preserve">Q59: What is the reversal agent for Rivaroxaban/Apixaban?</w:t>
      </w:r>
      <w:r>
        <w:t xml:space="preserve"> </w:t>
      </w:r>
      <w:r>
        <w:t xml:space="preserve">A: Andexanet alfa (or PCC if Andexanet is unavailable).</w:t>
      </w:r>
    </w:p>
    <w:p>
      <w:pPr>
        <w:pStyle w:val="BodyText"/>
      </w:pPr>
      <w:r>
        <w:rPr>
          <w:b/>
          <w:bCs/>
        </w:rPr>
        <w:t xml:space="preserve">Q60: Should you reverse anticoagulation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LGIB?</w:t>
      </w:r>
      <w:r>
        <w:t xml:space="preserve"> </w:t>
      </w:r>
      <w:r>
        <w:t xml:space="preserve">A: Only for life-threatening or major bleeding; for minor bleeds, holding the dose may be sufficient.</w:t>
      </w:r>
    </w:p>
    <w:p>
      <w:pPr>
        <w:pStyle w:val="BodyText"/>
      </w:pPr>
      <w:r>
        <w:rPr>
          <w:b/>
          <w:bCs/>
        </w:rPr>
        <w:t xml:space="preserve">Q61: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“Massive Transfusion Protocol”</w:t>
      </w:r>
      <w:r>
        <w:rPr>
          <w:b/>
          <w:bCs/>
        </w:rPr>
        <w:t xml:space="preserve"> </w:t>
      </w:r>
      <w:r>
        <w:rPr>
          <w:b/>
          <w:bCs/>
        </w:rPr>
        <w:t xml:space="preserve">(MTP)?</w:t>
      </w:r>
      <w:r>
        <w:t xml:space="preserve"> </w:t>
      </w:r>
      <w:r>
        <w:t xml:space="preserve">A: A 1:1:1 ratio of PRBC:FFP:Platelets.</w:t>
      </w:r>
    </w:p>
    <w:p>
      <w:pPr>
        <w:pStyle w:val="BodyText"/>
      </w:pPr>
      <w:r>
        <w:rPr>
          <w:b/>
          <w:bCs/>
        </w:rPr>
        <w:t xml:space="preserve">Q62: When should platelets be transfused in LGIB?</w:t>
      </w:r>
      <w:r>
        <w:t xml:space="preserve"> </w:t>
      </w:r>
      <w:r>
        <w:t xml:space="preserve">A: If the count is &lt;50,000, or &lt;100,000 if the patient is on antiplatelet therapy and has life-threatening bleeding.</w:t>
      </w:r>
    </w:p>
    <w:p>
      <w:pPr>
        <w:pStyle w:val="BodyText"/>
      </w:pPr>
      <w:r>
        <w:rPr>
          <w:b/>
          <w:bCs/>
        </w:rPr>
        <w:t xml:space="preserve">Q63: Is there a role for PPIs in LGIB?</w:t>
      </w:r>
      <w:r>
        <w:t xml:space="preserve"> </w:t>
      </w:r>
      <w:r>
        <w:t xml:space="preserve">A: Only if an UGI source has not been ruled out.</w:t>
      </w:r>
    </w:p>
    <w:p>
      <w:pPr>
        <w:pStyle w:val="BodyText"/>
      </w:pPr>
      <w:r>
        <w:rPr>
          <w:b/>
          <w:bCs/>
        </w:rPr>
        <w:t xml:space="preserve">Q64: What fluid should be used for initial resuscitation?</w:t>
      </w:r>
      <w:r>
        <w:t xml:space="preserve"> </w:t>
      </w:r>
      <w:r>
        <w:t xml:space="preserve">A: Balanced crystalloids (e.g., Plasmalyte or Hartmann’s) are preferred over Normal Saline.</w:t>
      </w:r>
    </w:p>
    <w:p>
      <w:pPr>
        <w:pStyle w:val="BodyText"/>
      </w:pPr>
      <w:r>
        <w:rPr>
          <w:b/>
          <w:bCs/>
        </w:rPr>
        <w:t xml:space="preserve">Q65: Can you use Tranexamic Acid (TXA) in LGIB?</w:t>
      </w:r>
      <w:r>
        <w:t xml:space="preserve"> </w:t>
      </w:r>
      <w:r>
        <w:t xml:space="preserve">A: No, the HALT-IT trial showed no benefit in GI bleeding.</w:t>
      </w:r>
    </w:p>
    <w:p>
      <w:pPr>
        <w:pStyle w:val="BodyText"/>
      </w:pPr>
      <w:r>
        <w:rPr>
          <w:b/>
          <w:bCs/>
        </w:rPr>
        <w:t xml:space="preserve">Q66: How do you manage a patient on Aspirin and Ticagrelor with LGIB?</w:t>
      </w:r>
      <w:r>
        <w:t xml:space="preserve"> </w:t>
      </w:r>
      <w:r>
        <w:t xml:space="preserve">A: Hold the Ticagrelor; Aspirin may be continued if the bleeding is minor and the CV risk is very high, but usually both are held during active bleeding.</w:t>
      </w:r>
    </w:p>
    <w:p>
      <w:pPr>
        <w:pStyle w:val="BodyText"/>
      </w:pPr>
      <w:r>
        <w:rPr>
          <w:b/>
          <w:bCs/>
        </w:rPr>
        <w:t xml:space="preserve">Q67: When should you restart Aspirin after LGIB?</w:t>
      </w:r>
      <w:r>
        <w:t xml:space="preserve"> </w:t>
      </w:r>
      <w:r>
        <w:t xml:space="preserve">A: For secondary prevention, as soon as hemostasis is achieved (usually 1-3 days).</w:t>
      </w:r>
    </w:p>
    <w:p>
      <w:pPr>
        <w:pStyle w:val="BodyText"/>
      </w:pPr>
      <w:r>
        <w:rPr>
          <w:b/>
          <w:bCs/>
        </w:rPr>
        <w:t xml:space="preserve">Q68: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“10% rule”</w:t>
      </w:r>
      <w:r>
        <w:rPr>
          <w:b/>
          <w:bCs/>
        </w:rPr>
        <w:t xml:space="preserve"> </w:t>
      </w:r>
      <w:r>
        <w:rPr>
          <w:b/>
          <w:bCs/>
        </w:rPr>
        <w:t xml:space="preserve">regarding UGI sources?</w:t>
      </w:r>
      <w:r>
        <w:t xml:space="preserve"> </w:t>
      </w:r>
      <w:r>
        <w:t xml:space="preserve">A: If the patient is unstable (tachycardia/hypotension), perform an OGD first.</w:t>
      </w:r>
    </w:p>
    <w:p>
      <w:pPr>
        <w:pStyle w:val="BodyText"/>
      </w:pPr>
      <w:r>
        <w:rPr>
          <w:b/>
          <w:bCs/>
        </w:rPr>
        <w:t xml:space="preserve">Q69: Is there a role for Octreotide in LGIB?</w:t>
      </w:r>
      <w:r>
        <w:t xml:space="preserve"> </w:t>
      </w:r>
      <w:r>
        <w:t xml:space="preserve">A: Only in specific cases of angiodysplasia or small bowel bleeding; not for acute diverticular bleeds.</w:t>
      </w:r>
    </w:p>
    <w:p>
      <w:pPr>
        <w:pStyle w:val="BodyText"/>
      </w:pPr>
      <w:r>
        <w:rPr>
          <w:b/>
          <w:bCs/>
        </w:rPr>
        <w:t xml:space="preserve">Q70: How should you manage a patient with a</w:t>
      </w:r>
      <w:r>
        <w:rPr>
          <w:b/>
          <w:bCs/>
        </w:rPr>
        <w:t xml:space="preserve"> </w:t>
      </w:r>
      <w:r>
        <w:rPr>
          <w:b/>
          <w:bCs/>
        </w:rPr>
        <w:t xml:space="preserve">“Negative CTA”</w:t>
      </w:r>
      <w:r>
        <w:rPr>
          <w:b/>
          <w:bCs/>
        </w:rPr>
        <w:t xml:space="preserve"> </w:t>
      </w:r>
      <w:r>
        <w:rPr>
          <w:b/>
          <w:bCs/>
        </w:rPr>
        <w:t xml:space="preserve">but ongoing hematochezia?</w:t>
      </w:r>
      <w:r>
        <w:t xml:space="preserve"> </w:t>
      </w:r>
      <w:r>
        <w:t xml:space="preserve">A: Likely intermittent bleeding; consider repeat CTA if vitals change, or proceed to colonoscopy after prep.</w:t>
      </w:r>
    </w:p>
    <w:p>
      <w:pPr>
        <w:pStyle w:val="BodyText"/>
      </w:pPr>
      <w:r>
        <w:rPr>
          <w:b/>
          <w:bCs/>
        </w:rPr>
        <w:t xml:space="preserve">Q71: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“Bowel Rest”</w:t>
      </w:r>
      <w:r>
        <w:rPr>
          <w:b/>
          <w:bCs/>
        </w:rPr>
        <w:t xml:space="preserve"> </w:t>
      </w:r>
      <w:r>
        <w:rPr>
          <w:b/>
          <w:bCs/>
        </w:rPr>
        <w:t xml:space="preserve">(NPO)?</w:t>
      </w:r>
      <w:r>
        <w:t xml:space="preserve"> </w:t>
      </w:r>
      <w:r>
        <w:t xml:space="preserve">A: Necessary for possible intervention, but not</w:t>
      </w:r>
      <w:r>
        <w:t xml:space="preserve"> </w:t>
      </w:r>
      <w:r>
        <w:t xml:space="preserve">“therapeutic”</w:t>
      </w:r>
      <w:r>
        <w:t xml:space="preserve"> </w:t>
      </w:r>
      <w:r>
        <w:t xml:space="preserve">for the bleed itself.</w:t>
      </w:r>
    </w:p>
    <w:p>
      <w:pPr>
        <w:pStyle w:val="BodyText"/>
      </w:pPr>
      <w:r>
        <w:rPr>
          <w:b/>
          <w:bCs/>
        </w:rPr>
        <w:t xml:space="preserve">Q72: Should you give antibiotics for LGIB?</w:t>
      </w:r>
      <w:r>
        <w:t xml:space="preserve"> </w:t>
      </w:r>
      <w:r>
        <w:t xml:space="preserve">A: No, unless there is a specific suspicion of Infectious Colitis or Neutropenic Enterocolitis.</w:t>
      </w:r>
    </w:p>
    <w:p>
      <w:pPr>
        <w:pStyle w:val="BodyText"/>
      </w:pPr>
      <w:r>
        <w:rPr>
          <w:b/>
          <w:bCs/>
        </w:rPr>
        <w:t xml:space="preserve">Q73: What is the significance of a high Lactate in LGIB?</w:t>
      </w:r>
      <w:r>
        <w:t xml:space="preserve"> </w:t>
      </w:r>
      <w:r>
        <w:t xml:space="preserve">A: Suggests tissue ischemia (Ischemic Colitis or Mesenteric Ischemia) or significant shock.</w:t>
      </w:r>
    </w:p>
    <w:p>
      <w:pPr>
        <w:pStyle w:val="BodyText"/>
      </w:pPr>
      <w:r>
        <w:rPr>
          <w:b/>
          <w:bCs/>
        </w:rPr>
        <w:t xml:space="preserve">Q74: What is the threshold for PCC dosing in LGIB?</w:t>
      </w:r>
      <w:r>
        <w:t xml:space="preserve"> </w:t>
      </w:r>
      <w:r>
        <w:t xml:space="preserve">A: Usually 25-50 units/kg based on INR.</w:t>
      </w:r>
    </w:p>
    <w:p>
      <w:pPr>
        <w:pStyle w:val="BodyText"/>
      </w:pPr>
      <w:r>
        <w:rPr>
          <w:b/>
          <w:bCs/>
        </w:rPr>
        <w:t xml:space="preserve">Q75: Is Desmopressin (dDAVP) useful in LGIB?</w:t>
      </w:r>
      <w:r>
        <w:t xml:space="preserve"> </w:t>
      </w:r>
      <w:r>
        <w:t xml:space="preserve">A: Potentially useful in patients with uremic platelet dysfunction or von Willebrand disease.</w:t>
      </w:r>
    </w:p>
    <w:bookmarkEnd w:id="13"/>
    <w:bookmarkStart w:id="14" w:name="q76-q90-definitive-repair"/>
    <w:p>
      <w:pPr>
        <w:pStyle w:val="Heading3"/>
      </w:pPr>
      <w:r>
        <w:t xml:space="preserve">Q76-Q90: Definitive Repair</w:t>
      </w:r>
    </w:p>
    <w:p>
      <w:pPr>
        <w:pStyle w:val="FirstParagraph"/>
      </w:pPr>
      <w:r>
        <w:rPr>
          <w:b/>
          <w:bCs/>
        </w:rPr>
        <w:t xml:space="preserve">Q76: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“Success Rate”</w:t>
      </w:r>
      <w:r>
        <w:rPr>
          <w:b/>
          <w:bCs/>
        </w:rPr>
        <w:t xml:space="preserve"> </w:t>
      </w:r>
      <w:r>
        <w:rPr>
          <w:b/>
          <w:bCs/>
        </w:rPr>
        <w:t xml:space="preserve">of IR embolization in LGIB?</w:t>
      </w:r>
      <w:r>
        <w:t xml:space="preserve"> </w:t>
      </w:r>
      <w:r>
        <w:t xml:space="preserve">A: 75-95% for immediate hemostasis.</w:t>
      </w:r>
    </w:p>
    <w:p>
      <w:pPr>
        <w:pStyle w:val="BodyText"/>
      </w:pPr>
      <w:r>
        <w:rPr>
          <w:b/>
          <w:bCs/>
        </w:rPr>
        <w:t xml:space="preserve">Q77: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“Bowel Ischemia”</w:t>
      </w:r>
      <w:r>
        <w:rPr>
          <w:b/>
          <w:bCs/>
        </w:rPr>
        <w:t xml:space="preserve"> </w:t>
      </w:r>
      <w:r>
        <w:rPr>
          <w:b/>
          <w:bCs/>
        </w:rPr>
        <w:t xml:space="preserve">after IR embolization?</w:t>
      </w:r>
      <w:r>
        <w:t xml:space="preserve"> </w:t>
      </w:r>
      <w:r>
        <w:t xml:space="preserve">A: Historically high, but with modern super-selective techniques, it is &lt;5%.</w:t>
      </w:r>
    </w:p>
    <w:p>
      <w:pPr>
        <w:pStyle w:val="BodyText"/>
      </w:pPr>
      <w:r>
        <w:rPr>
          <w:b/>
          <w:bCs/>
        </w:rPr>
        <w:t xml:space="preserve">Q78: When is Surgery indicated for LGIB?</w:t>
      </w:r>
      <w:r>
        <w:t xml:space="preserve"> </w:t>
      </w:r>
      <w:r>
        <w:t xml:space="preserve">A: Failure of endoscopic and IR therapies, or ongoing instability requiring &gt;6 units of PRBC.</w:t>
      </w:r>
    </w:p>
    <w:p>
      <w:pPr>
        <w:pStyle w:val="BodyText"/>
      </w:pPr>
      <w:r>
        <w:rPr>
          <w:b/>
          <w:bCs/>
        </w:rPr>
        <w:t xml:space="preserve">Q79: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“Surgical Procedure of Choice”</w:t>
      </w:r>
      <w:r>
        <w:rPr>
          <w:b/>
          <w:bCs/>
        </w:rPr>
        <w:t xml:space="preserve"> </w:t>
      </w:r>
      <w:r>
        <w:rPr>
          <w:b/>
          <w:bCs/>
        </w:rPr>
        <w:t xml:space="preserve">if the source is known?</w:t>
      </w:r>
      <w:r>
        <w:t xml:space="preserve"> </w:t>
      </w:r>
      <w:r>
        <w:t xml:space="preserve">A: Segmental colectomy.</w:t>
      </w:r>
    </w:p>
    <w:p>
      <w:pPr>
        <w:pStyle w:val="BodyText"/>
      </w:pPr>
      <w:r>
        <w:rPr>
          <w:b/>
          <w:bCs/>
        </w:rPr>
        <w:t xml:space="preserve">Q80: What is the procedure if the source is UNKNOWN?</w:t>
      </w:r>
      <w:r>
        <w:t xml:space="preserve"> </w:t>
      </w:r>
      <w:r>
        <w:t xml:space="preserve">A: Total abdominal colectomy with end-ileostomy (the</w:t>
      </w:r>
      <w:r>
        <w:t xml:space="preserve"> </w:t>
      </w:r>
      <w:r>
        <w:t xml:space="preserve">“blind”</w:t>
      </w:r>
      <w:r>
        <w:t xml:space="preserve"> </w:t>
      </w:r>
      <w:r>
        <w:t xml:space="preserve">segmental resection is associated with a 75% rebleeding rate).</w:t>
      </w:r>
    </w:p>
    <w:p>
      <w:pPr>
        <w:pStyle w:val="BodyText"/>
      </w:pPr>
      <w:r>
        <w:rPr>
          <w:b/>
          <w:bCs/>
        </w:rPr>
        <w:t xml:space="preserve">Q81: What are the endoscopic treatments for diverticular bleeding?</w:t>
      </w:r>
      <w:r>
        <w:t xml:space="preserve"> </w:t>
      </w:r>
      <w:r>
        <w:t xml:space="preserve">A: Bipolar cautery, Epinephrine injection, or Mechanical clips.</w:t>
      </w:r>
    </w:p>
    <w:p>
      <w:pPr>
        <w:pStyle w:val="BodyText"/>
      </w:pPr>
      <w:r>
        <w:rPr>
          <w:b/>
          <w:bCs/>
        </w:rPr>
        <w:t xml:space="preserve">Q82: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“Endoscopic Band Ligation”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(EBL) for diverticula?</w:t>
      </w:r>
      <w:r>
        <w:t xml:space="preserve"> </w:t>
      </w:r>
      <w:r>
        <w:t xml:space="preserve">A: Using a varix-style bander to ligate the bleeding diverticulum.</w:t>
      </w:r>
    </w:p>
    <w:p>
      <w:pPr>
        <w:pStyle w:val="BodyText"/>
      </w:pPr>
      <w:r>
        <w:rPr>
          <w:b/>
          <w:bCs/>
        </w:rPr>
        <w:t xml:space="preserve">Q83: How do you treat bleeding angiodysplasia?</w:t>
      </w:r>
      <w:r>
        <w:t xml:space="preserve"> </w:t>
      </w:r>
      <w:r>
        <w:t xml:space="preserve">A: Argon Plasma Coagulation (APC).</w:t>
      </w:r>
    </w:p>
    <w:p>
      <w:pPr>
        <w:pStyle w:val="BodyText"/>
      </w:pPr>
      <w:r>
        <w:rPr>
          <w:b/>
          <w:bCs/>
        </w:rPr>
        <w:t xml:space="preserve">Q84: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“Hemostatic Powder”</w:t>
      </w:r>
      <w:r>
        <w:rPr>
          <w:b/>
          <w:bCs/>
        </w:rPr>
        <w:t xml:space="preserve"> </w:t>
      </w:r>
      <w:r>
        <w:rPr>
          <w:b/>
          <w:bCs/>
        </w:rPr>
        <w:t xml:space="preserve">used for in the colon?</w:t>
      </w:r>
      <w:r>
        <w:t xml:space="preserve"> </w:t>
      </w:r>
      <w:r>
        <w:t xml:space="preserve">A: Rescue therapy for diffuse bleeding (e.g., radiation proctitis or large ulcers).</w:t>
      </w:r>
    </w:p>
    <w:p>
      <w:pPr>
        <w:pStyle w:val="BodyText"/>
      </w:pPr>
      <w:r>
        <w:rPr>
          <w:b/>
          <w:bCs/>
        </w:rPr>
        <w:t xml:space="preserve">Q85: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“Post-Polypectomy Bleeding”</w:t>
      </w:r>
      <w:r>
        <w:rPr>
          <w:b/>
          <w:bCs/>
        </w:rPr>
        <w:t xml:space="preserve">?</w:t>
      </w:r>
      <w:r>
        <w:t xml:space="preserve"> </w:t>
      </w:r>
      <w:r>
        <w:t xml:space="preserve">A: 1-2%; can occur immediately or up to 2 weeks later (</w:t>
      </w:r>
      <w:r>
        <w:t xml:space="preserve">“delayed”</w:t>
      </w:r>
      <w:r>
        <w:t xml:space="preserve"> </w:t>
      </w:r>
      <w:r>
        <w:t xml:space="preserve">bleed).</w:t>
      </w:r>
    </w:p>
    <w:p>
      <w:pPr>
        <w:pStyle w:val="BodyText"/>
      </w:pPr>
      <w:r>
        <w:rPr>
          <w:b/>
          <w:bCs/>
        </w:rPr>
        <w:t xml:space="preserve">Q86: How do you treat radiation proctitis bleeding?</w:t>
      </w:r>
      <w:r>
        <w:t xml:space="preserve"> </w:t>
      </w:r>
      <w:r>
        <w:t xml:space="preserve">A: APC or Sucralfate enemas.</w:t>
      </w:r>
    </w:p>
    <w:p>
      <w:pPr>
        <w:pStyle w:val="BodyText"/>
      </w:pPr>
      <w:r>
        <w:rPr>
          <w:b/>
          <w:bCs/>
        </w:rPr>
        <w:t xml:space="preserve">Q87: Is</w:t>
      </w:r>
      <w:r>
        <w:rPr>
          <w:b/>
          <w:bCs/>
        </w:rPr>
        <w:t xml:space="preserve"> </w:t>
      </w:r>
      <w:r>
        <w:rPr>
          <w:b/>
          <w:bCs/>
        </w:rPr>
        <w:t xml:space="preserve">“Provocative Angiography”</w:t>
      </w:r>
      <w:r>
        <w:rPr>
          <w:b/>
          <w:bCs/>
        </w:rPr>
        <w:t xml:space="preserve"> </w:t>
      </w:r>
      <w:r>
        <w:rPr>
          <w:b/>
          <w:bCs/>
        </w:rPr>
        <w:t xml:space="preserve">still performed?</w:t>
      </w:r>
      <w:r>
        <w:t xml:space="preserve"> </w:t>
      </w:r>
      <w:r>
        <w:t xml:space="preserve">A: Using vasodilators/anticoagulants to</w:t>
      </w:r>
      <w:r>
        <w:t xml:space="preserve"> </w:t>
      </w:r>
      <w:r>
        <w:t xml:space="preserve">“start”</w:t>
      </w:r>
      <w:r>
        <w:t xml:space="preserve"> </w:t>
      </w:r>
      <w:r>
        <w:t xml:space="preserve">a bleed in IR; very rare now due to risks.</w:t>
      </w:r>
    </w:p>
    <w:p>
      <w:pPr>
        <w:pStyle w:val="BodyText"/>
      </w:pPr>
      <w:r>
        <w:rPr>
          <w:b/>
          <w:bCs/>
        </w:rPr>
        <w:t xml:space="preserve">Q88: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“Intraoperative Enteroscopy”</w:t>
      </w:r>
      <w:r>
        <w:rPr>
          <w:b/>
          <w:bCs/>
        </w:rPr>
        <w:t xml:space="preserve">?</w:t>
      </w:r>
      <w:r>
        <w:t xml:space="preserve"> </w:t>
      </w:r>
      <w:r>
        <w:t xml:space="preserve">A: Used during surgery to find a small bowel source; very invasive and rarely needed with modern imaging.</w:t>
      </w:r>
    </w:p>
    <w:p>
      <w:pPr>
        <w:pStyle w:val="BodyText"/>
      </w:pPr>
      <w:r>
        <w:rPr>
          <w:b/>
          <w:bCs/>
        </w:rPr>
        <w:t xml:space="preserve">Q89: Can IR embolize small bowel bleeds?</w:t>
      </w:r>
      <w:r>
        <w:t xml:space="preserve"> </w:t>
      </w:r>
      <w:r>
        <w:t xml:space="preserve">A: Yes, but the risk of ischemia is slightly higher than in the colon.</w:t>
      </w:r>
    </w:p>
    <w:p>
      <w:pPr>
        <w:pStyle w:val="BodyText"/>
      </w:pPr>
      <w:r>
        <w:rPr>
          <w:b/>
          <w:bCs/>
        </w:rPr>
        <w:t xml:space="preserve">Q90: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“rebleeding rate”</w:t>
      </w:r>
      <w:r>
        <w:rPr>
          <w:b/>
          <w:bCs/>
        </w:rPr>
        <w:t xml:space="preserve"> </w:t>
      </w:r>
      <w:r>
        <w:rPr>
          <w:b/>
          <w:bCs/>
        </w:rPr>
        <w:t xml:space="preserve">after successful IR embolization?</w:t>
      </w:r>
      <w:r>
        <w:t xml:space="preserve"> </w:t>
      </w:r>
      <w:r>
        <w:t xml:space="preserve">A: 15-25%.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When should you restart DOACs after LGIB?</w:t>
      </w:r>
      <w:r>
        <w:t xml:space="preserve"> </w:t>
      </w:r>
      <w:r>
        <w:t xml:space="preserve">A: Usually within 7-15 days, depending on the risk of thrombosis vs. rebleeding.</w:t>
      </w:r>
    </w:p>
    <w:p>
      <w:pPr>
        <w:pStyle w:val="BodyText"/>
      </w:pPr>
      <w:r>
        <w:rPr>
          <w:b/>
          <w:bCs/>
        </w:rPr>
        <w:t xml:space="preserve">Q92: Is it safe to stop Anticoagulation permanently after a diverticular bleed?</w:t>
      </w:r>
      <w:r>
        <w:t xml:space="preserve"> </w:t>
      </w:r>
      <w:r>
        <w:t xml:space="preserve">A: No, the risk of stroke/VTE usually outweighs the risk of GI rebleeding.</w:t>
      </w:r>
    </w:p>
    <w:p>
      <w:pPr>
        <w:pStyle w:val="BodyText"/>
      </w:pPr>
      <w:r>
        <w:rPr>
          <w:b/>
          <w:bCs/>
        </w:rPr>
        <w:t xml:space="preserve">Q93: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“Oakland Score”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 for HDU admission?</w:t>
      </w:r>
      <w:r>
        <w:t xml:space="preserve"> </w:t>
      </w:r>
      <w:r>
        <w:t xml:space="preserve">A: Not explicitly defined, but a high score (&gt;20) or high STRATE score suggests need for higher care.</w:t>
      </w:r>
    </w:p>
    <w:p>
      <w:pPr>
        <w:pStyle w:val="BodyText"/>
      </w:pPr>
      <w:r>
        <w:rPr>
          <w:b/>
          <w:bCs/>
        </w:rPr>
        <w:t xml:space="preserve">Q94: How long should a patient be monitored after LGIB stops?</w:t>
      </w:r>
      <w:r>
        <w:t xml:space="preserve"> </w:t>
      </w:r>
      <w:r>
        <w:t xml:space="preserve">A: Usually 24-48 hours of stability and resumption of oral intake.</w:t>
      </w:r>
    </w:p>
    <w:p>
      <w:pPr>
        <w:pStyle w:val="BodyText"/>
      </w:pPr>
      <w:r>
        <w:rPr>
          <w:b/>
          <w:bCs/>
        </w:rPr>
        <w:t xml:space="preserve">Q95: What is the long-term prognosis of</w:t>
      </w:r>
      <w:r>
        <w:rPr>
          <w:b/>
          <w:bCs/>
        </w:rPr>
        <w:t xml:space="preserve"> </w:t>
      </w:r>
      <w:r>
        <w:rPr>
          <w:b/>
          <w:bCs/>
        </w:rPr>
        <w:t xml:space="preserve">“Unexplained”</w:t>
      </w:r>
      <w:r>
        <w:rPr>
          <w:b/>
          <w:bCs/>
        </w:rPr>
        <w:t xml:space="preserve"> </w:t>
      </w:r>
      <w:r>
        <w:rPr>
          <w:b/>
          <w:bCs/>
        </w:rPr>
        <w:t xml:space="preserve">GI bleeding?</w:t>
      </w:r>
      <w:r>
        <w:t xml:space="preserve"> </w:t>
      </w:r>
      <w:r>
        <w:t xml:space="preserve">A: Good, but requires thorough small bowel evaluation (VCE).</w:t>
      </w:r>
    </w:p>
    <w:p>
      <w:pPr>
        <w:pStyle w:val="BodyText"/>
      </w:pPr>
      <w:r>
        <w:rPr>
          <w:b/>
          <w:bCs/>
        </w:rPr>
        <w:t xml:space="preserve">Q96: Does restarting Aspirin after LGIB increase the risk of rebleeding?</w:t>
      </w:r>
      <w:r>
        <w:t xml:space="preserve"> </w:t>
      </w:r>
      <w:r>
        <w:t xml:space="preserve">A: Yes, but it significantly decreases the risk of all-cause mortality and MACE.</w:t>
      </w:r>
    </w:p>
    <w:p>
      <w:pPr>
        <w:pStyle w:val="BodyText"/>
      </w:pPr>
      <w:r>
        <w:rPr>
          <w:b/>
          <w:bCs/>
        </w:rPr>
        <w:t xml:space="preserve">Q97: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“3-day rule”</w:t>
      </w:r>
      <w:r>
        <w:rPr>
          <w:b/>
          <w:bCs/>
        </w:rPr>
        <w:t xml:space="preserve"> </w:t>
      </w:r>
      <w:r>
        <w:rPr>
          <w:b/>
          <w:bCs/>
        </w:rPr>
        <w:t xml:space="preserve">for LGIB?</w:t>
      </w:r>
      <w:r>
        <w:t xml:space="preserve"> </w:t>
      </w:r>
      <w:r>
        <w:t xml:space="preserve">A: If the patient is stable for 3 days, the risk of a major rebleed is low.</w:t>
      </w:r>
    </w:p>
    <w:p>
      <w:pPr>
        <w:pStyle w:val="BodyText"/>
      </w:pPr>
      <w:r>
        <w:rPr>
          <w:b/>
          <w:bCs/>
        </w:rPr>
        <w:t xml:space="preserve">Q98: What percentage of patients with LGIB have a malignant source?</w:t>
      </w:r>
      <w:r>
        <w:t xml:space="preserve"> </w:t>
      </w:r>
      <w:r>
        <w:t xml:space="preserve">A: 5-10%.</w:t>
      </w:r>
    </w:p>
    <w:p>
      <w:pPr>
        <w:pStyle w:val="BodyText"/>
      </w:pPr>
      <w:r>
        <w:rPr>
          <w:b/>
          <w:bCs/>
        </w:rPr>
        <w:t xml:space="preserve">Q99: What is the most important follow-up for a patient with diverticular bleeding?</w:t>
      </w:r>
      <w:r>
        <w:t xml:space="preserve"> </w:t>
      </w:r>
      <w:r>
        <w:t xml:space="preserve">A: Screening colonoscopy if not done in the last 1-2 years.</w:t>
      </w:r>
    </w:p>
    <w:p>
      <w:pPr>
        <w:pStyle w:val="BodyText"/>
      </w:pPr>
      <w:r>
        <w:rPr>
          <w:b/>
          <w:bCs/>
        </w:rPr>
        <w:t xml:space="preserve">Q100: What is the single best predictor of poor outcome in LGIB?</w:t>
      </w:r>
      <w:r>
        <w:t xml:space="preserve"> </w:t>
      </w:r>
      <w:r>
        <w:t xml:space="preserve">A: Development of the bleed while already an inpatient for another cause.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2026-04-02T21:50:53Z</dcterms:created>
  <dcterms:modified xsi:type="dcterms:W3CDTF">2026-04-02T21:50:53Z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